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olor w:val="156082" w:themeColor="accent1"/>
          <w:kern w:val="2"/>
          <w:sz w:val="24"/>
          <w:szCs w:val="24"/>
          <w:lang w:eastAsia="en-US"/>
          <w14:ligatures w14:val="standardContextual"/>
        </w:rPr>
        <w:id w:val="-1662685498"/>
        <w:docPartObj>
          <w:docPartGallery w:val="Cover Pages"/>
          <w:docPartUnique/>
        </w:docPartObj>
      </w:sdtPr>
      <w:sdtEndPr>
        <w:rPr>
          <w:rFonts w:ascii="Arial" w:hAnsi="Arial" w:cs="Arial"/>
          <w:b/>
          <w:bCs/>
          <w:color w:val="auto"/>
          <w:sz w:val="28"/>
          <w:szCs w:val="28"/>
        </w:rPr>
      </w:sdtEndPr>
      <w:sdtContent>
        <w:p w14:paraId="4BA78E2B" w14:textId="26B00373" w:rsidR="000B57FA" w:rsidRPr="00F34EB6" w:rsidRDefault="000B57FA">
          <w:pPr>
            <w:pStyle w:val="Sinespaciado"/>
            <w:spacing w:before="1540" w:after="240"/>
            <w:jc w:val="center"/>
            <w:rPr>
              <w:color w:val="156082" w:themeColor="accent1"/>
            </w:rPr>
          </w:pPr>
        </w:p>
        <w:p w14:paraId="4BC3F44F" w14:textId="77777777" w:rsidR="00390370" w:rsidRPr="00F34EB6" w:rsidRDefault="00390370" w:rsidP="00390370">
          <w:pPr>
            <w:pStyle w:val="Sinespaciado"/>
            <w:spacing w:before="360" w:after="240"/>
            <w:jc w:val="center"/>
            <w:rPr>
              <w:color w:val="156082" w:themeColor="accent1"/>
            </w:rPr>
          </w:pPr>
        </w:p>
        <w:sdt>
          <w:sdtPr>
            <w:rPr>
              <w:rFonts w:asciiTheme="majorHAnsi" w:eastAsiaTheme="majorEastAsia" w:hAnsiTheme="majorHAnsi" w:cstheme="majorBidi"/>
              <w:b/>
              <w:bCs/>
              <w:caps/>
              <w:color w:val="002060"/>
              <w:sz w:val="56"/>
              <w:szCs w:val="56"/>
            </w:rPr>
            <w:alias w:val="Título"/>
            <w:tag w:val=""/>
            <w:id w:val="1735040861"/>
            <w:placeholder>
              <w:docPart w:val="C730613B8AF84EB39F5DD23456DD609D"/>
            </w:placeholder>
            <w:dataBinding w:prefixMappings="xmlns:ns0='http://purl.org/dc/elements/1.1/' xmlns:ns1='http://schemas.openxmlformats.org/package/2006/metadata/core-properties' " w:xpath="/ns1:coreProperties[1]/ns0:title[1]" w:storeItemID="{6C3C8BC8-F283-45AE-878A-BAB7291924A1}"/>
            <w:text/>
          </w:sdtPr>
          <w:sdtEndPr/>
          <w:sdtContent>
            <w:p w14:paraId="7605F4DD" w14:textId="7FA666D8" w:rsidR="000B57FA" w:rsidRPr="00F34EB6" w:rsidRDefault="0030573E">
              <w:pPr>
                <w:pStyle w:val="Sinespaciado"/>
                <w:pBdr>
                  <w:top w:val="single" w:sz="6" w:space="6" w:color="156082" w:themeColor="accent1"/>
                  <w:bottom w:val="single" w:sz="6" w:space="6" w:color="156082" w:themeColor="accent1"/>
                </w:pBdr>
                <w:spacing w:after="240"/>
                <w:jc w:val="center"/>
                <w:rPr>
                  <w:rFonts w:asciiTheme="majorHAnsi" w:eastAsiaTheme="majorEastAsia" w:hAnsiTheme="majorHAnsi" w:cstheme="majorBidi"/>
                  <w:b/>
                  <w:bCs/>
                  <w:caps/>
                  <w:color w:val="002060"/>
                  <w:sz w:val="56"/>
                  <w:szCs w:val="56"/>
                </w:rPr>
              </w:pPr>
              <w:r w:rsidRPr="00F34EB6">
                <w:rPr>
                  <w:rFonts w:asciiTheme="majorHAnsi" w:eastAsiaTheme="majorEastAsia" w:hAnsiTheme="majorHAnsi" w:cstheme="majorBidi"/>
                  <w:b/>
                  <w:bCs/>
                  <w:caps/>
                  <w:color w:val="002060"/>
                  <w:sz w:val="56"/>
                  <w:szCs w:val="56"/>
                </w:rPr>
                <w:t xml:space="preserve">INFORME TRIMESTRAL DE AUSTERIDAD DEL GASTO </w:t>
              </w:r>
              <w:r w:rsidR="00FD6E64">
                <w:rPr>
                  <w:rFonts w:asciiTheme="majorHAnsi" w:eastAsiaTheme="majorEastAsia" w:hAnsiTheme="majorHAnsi" w:cstheme="majorBidi"/>
                  <w:b/>
                  <w:bCs/>
                  <w:caps/>
                  <w:color w:val="002060"/>
                  <w:sz w:val="56"/>
                  <w:szCs w:val="56"/>
                </w:rPr>
                <w:t>CUARTO</w:t>
              </w:r>
              <w:r w:rsidRPr="00F34EB6">
                <w:rPr>
                  <w:rFonts w:asciiTheme="majorHAnsi" w:eastAsiaTheme="majorEastAsia" w:hAnsiTheme="majorHAnsi" w:cstheme="majorBidi"/>
                  <w:b/>
                  <w:bCs/>
                  <w:caps/>
                  <w:color w:val="002060"/>
                  <w:sz w:val="56"/>
                  <w:szCs w:val="56"/>
                </w:rPr>
                <w:t xml:space="preserve"> TIRMESTE DE 202</w:t>
              </w:r>
              <w:r w:rsidR="00FD6E64">
                <w:rPr>
                  <w:rFonts w:asciiTheme="majorHAnsi" w:eastAsiaTheme="majorEastAsia" w:hAnsiTheme="majorHAnsi" w:cstheme="majorBidi"/>
                  <w:b/>
                  <w:bCs/>
                  <w:caps/>
                  <w:color w:val="002060"/>
                  <w:sz w:val="56"/>
                  <w:szCs w:val="56"/>
                </w:rPr>
                <w:t>4</w:t>
              </w:r>
            </w:p>
          </w:sdtContent>
        </w:sdt>
        <w:sdt>
          <w:sdtPr>
            <w:rPr>
              <w:color w:val="156082" w:themeColor="accent1"/>
              <w:sz w:val="28"/>
              <w:szCs w:val="28"/>
            </w:rPr>
            <w:alias w:val="Subtítulo"/>
            <w:tag w:val=""/>
            <w:id w:val="328029620"/>
            <w:placeholder>
              <w:docPart w:val="308DA9D6815443758ADA936760174CD0"/>
            </w:placeholder>
            <w:dataBinding w:prefixMappings="xmlns:ns0='http://purl.org/dc/elements/1.1/' xmlns:ns1='http://schemas.openxmlformats.org/package/2006/metadata/core-properties' " w:xpath="/ns1:coreProperties[1]/ns0:subject[1]" w:storeItemID="{6C3C8BC8-F283-45AE-878A-BAB7291924A1}"/>
            <w:text/>
          </w:sdtPr>
          <w:sdtEndPr/>
          <w:sdtContent>
            <w:p w14:paraId="5D8FBC0B" w14:textId="30A73DDD" w:rsidR="000B57FA" w:rsidRPr="00F34EB6" w:rsidRDefault="000B57FA">
              <w:pPr>
                <w:pStyle w:val="Sinespaciado"/>
                <w:jc w:val="center"/>
                <w:rPr>
                  <w:color w:val="156082" w:themeColor="accent1"/>
                  <w:sz w:val="28"/>
                  <w:szCs w:val="28"/>
                </w:rPr>
              </w:pPr>
              <w:r w:rsidRPr="00F34EB6">
                <w:rPr>
                  <w:color w:val="156082" w:themeColor="accent1"/>
                  <w:sz w:val="28"/>
                  <w:szCs w:val="28"/>
                </w:rPr>
                <w:t>INFORME EJECUTIVO</w:t>
              </w:r>
            </w:p>
          </w:sdtContent>
        </w:sdt>
        <w:p w14:paraId="7ADF9763" w14:textId="77777777" w:rsidR="00390370" w:rsidRPr="00F34EB6" w:rsidRDefault="00390370">
          <w:pPr>
            <w:rPr>
              <w:rFonts w:asciiTheme="majorHAnsi" w:eastAsiaTheme="majorEastAsia" w:hAnsiTheme="majorHAnsi" w:cstheme="majorBidi"/>
              <w:b/>
              <w:bCs/>
              <w:caps/>
              <w:color w:val="002060"/>
              <w:sz w:val="56"/>
              <w:szCs w:val="56"/>
            </w:rPr>
          </w:pPr>
        </w:p>
        <w:p w14:paraId="13C1A9A0" w14:textId="3F5A00DB" w:rsidR="00390370" w:rsidRPr="00F34EB6" w:rsidRDefault="00390370">
          <w:pPr>
            <w:rPr>
              <w:rFonts w:asciiTheme="majorHAnsi" w:eastAsiaTheme="majorEastAsia" w:hAnsiTheme="majorHAnsi" w:cstheme="majorBidi"/>
              <w:b/>
              <w:bCs/>
              <w:caps/>
              <w:color w:val="002060"/>
              <w:sz w:val="56"/>
              <w:szCs w:val="56"/>
            </w:rPr>
          </w:pPr>
          <w:r w:rsidRPr="00F34EB6">
            <w:rPr>
              <w:noProof/>
            </w:rPr>
            <w:drawing>
              <wp:anchor distT="0" distB="0" distL="114300" distR="114300" simplePos="0" relativeHeight="251659264" behindDoc="1" locked="0" layoutInCell="1" allowOverlap="1" wp14:anchorId="0F5DDDF9" wp14:editId="4EE52D36">
                <wp:simplePos x="0" y="0"/>
                <wp:positionH relativeFrom="margin">
                  <wp:align>center</wp:align>
                </wp:positionH>
                <wp:positionV relativeFrom="paragraph">
                  <wp:posOffset>512445</wp:posOffset>
                </wp:positionV>
                <wp:extent cx="2917409" cy="1180725"/>
                <wp:effectExtent l="0" t="0" r="0" b="635"/>
                <wp:wrapNone/>
                <wp:docPr id="3" name="Imagen 2" descr="Texto&#10;&#10;El contenido generado por IA puede ser incorrecto.">
                  <a:extLst xmlns:a="http://schemas.openxmlformats.org/drawingml/2006/main">
                    <a:ext uri="{FF2B5EF4-FFF2-40B4-BE49-F238E27FC236}">
                      <a16:creationId xmlns:a16="http://schemas.microsoft.com/office/drawing/2014/main" id="{B1E7F188-6DE7-9C3B-88CB-82E5218B20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Texto&#10;&#10;El contenido generado por IA puede ser incorrecto.">
                          <a:extLst>
                            <a:ext uri="{FF2B5EF4-FFF2-40B4-BE49-F238E27FC236}">
                              <a16:creationId xmlns:a16="http://schemas.microsoft.com/office/drawing/2014/main" id="{B1E7F188-6DE7-9C3B-88CB-82E5218B2031}"/>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0163" t="3182" r="9246" b="32733"/>
                        <a:stretch/>
                      </pic:blipFill>
                      <pic:spPr>
                        <a:xfrm>
                          <a:off x="0" y="0"/>
                          <a:ext cx="2917409" cy="1180725"/>
                        </a:xfrm>
                        <a:prstGeom prst="rect">
                          <a:avLst/>
                        </a:prstGeom>
                      </pic:spPr>
                    </pic:pic>
                  </a:graphicData>
                </a:graphic>
                <wp14:sizeRelH relativeFrom="margin">
                  <wp14:pctWidth>0</wp14:pctWidth>
                </wp14:sizeRelH>
                <wp14:sizeRelV relativeFrom="margin">
                  <wp14:pctHeight>0</wp14:pctHeight>
                </wp14:sizeRelV>
              </wp:anchor>
            </w:drawing>
          </w:r>
        </w:p>
        <w:p w14:paraId="7D256D8B" w14:textId="37937DDB" w:rsidR="00390370" w:rsidRPr="00F34EB6" w:rsidRDefault="00390370">
          <w:pPr>
            <w:rPr>
              <w:rFonts w:asciiTheme="majorHAnsi" w:eastAsiaTheme="majorEastAsia" w:hAnsiTheme="majorHAnsi" w:cstheme="majorBidi"/>
              <w:b/>
              <w:bCs/>
              <w:caps/>
              <w:color w:val="002060"/>
              <w:sz w:val="56"/>
              <w:szCs w:val="56"/>
            </w:rPr>
          </w:pPr>
        </w:p>
        <w:p w14:paraId="3451EBEE" w14:textId="77777777" w:rsidR="00390370" w:rsidRPr="00F34EB6" w:rsidRDefault="00390370">
          <w:pPr>
            <w:rPr>
              <w:rFonts w:asciiTheme="majorHAnsi" w:eastAsiaTheme="majorEastAsia" w:hAnsiTheme="majorHAnsi" w:cstheme="majorBidi"/>
              <w:b/>
              <w:bCs/>
              <w:caps/>
              <w:color w:val="002060"/>
              <w:sz w:val="56"/>
              <w:szCs w:val="56"/>
            </w:rPr>
          </w:pPr>
        </w:p>
        <w:p w14:paraId="457C8287" w14:textId="77777777" w:rsidR="00390370" w:rsidRPr="00F34EB6" w:rsidRDefault="00390370" w:rsidP="00390370">
          <w:pPr>
            <w:jc w:val="center"/>
            <w:rPr>
              <w:rFonts w:asciiTheme="majorHAnsi" w:eastAsiaTheme="majorEastAsia" w:hAnsiTheme="majorHAnsi" w:cstheme="majorBidi"/>
              <w:b/>
              <w:bCs/>
              <w:caps/>
              <w:color w:val="002060"/>
              <w:sz w:val="56"/>
              <w:szCs w:val="56"/>
            </w:rPr>
          </w:pPr>
        </w:p>
        <w:p w14:paraId="4CA5FD3A" w14:textId="77777777" w:rsidR="00390370" w:rsidRPr="00F34EB6" w:rsidRDefault="00390370" w:rsidP="00390370">
          <w:pPr>
            <w:jc w:val="center"/>
            <w:rPr>
              <w:rFonts w:asciiTheme="majorHAnsi" w:eastAsiaTheme="majorEastAsia" w:hAnsiTheme="majorHAnsi" w:cstheme="majorBidi"/>
              <w:b/>
              <w:bCs/>
              <w:caps/>
              <w:color w:val="002060"/>
              <w:sz w:val="56"/>
              <w:szCs w:val="56"/>
            </w:rPr>
          </w:pPr>
        </w:p>
        <w:p w14:paraId="57404D46" w14:textId="6B184915" w:rsidR="00390370" w:rsidRPr="00F34EB6" w:rsidRDefault="0030573E" w:rsidP="00390370">
          <w:pPr>
            <w:jc w:val="center"/>
            <w:rPr>
              <w:rFonts w:asciiTheme="majorHAnsi" w:eastAsiaTheme="majorEastAsia" w:hAnsiTheme="majorHAnsi" w:cstheme="majorBidi"/>
              <w:caps/>
              <w:color w:val="002060"/>
              <w:sz w:val="40"/>
              <w:szCs w:val="40"/>
            </w:rPr>
          </w:pPr>
          <w:r w:rsidRPr="00F34EB6">
            <w:rPr>
              <w:rFonts w:asciiTheme="majorHAnsi" w:eastAsiaTheme="majorEastAsia" w:hAnsiTheme="majorHAnsi" w:cstheme="majorBidi"/>
              <w:color w:val="002060"/>
              <w:sz w:val="40"/>
              <w:szCs w:val="40"/>
            </w:rPr>
            <w:t xml:space="preserve">Vigencia </w:t>
          </w:r>
          <w:r w:rsidR="00785308">
            <w:rPr>
              <w:rFonts w:asciiTheme="majorHAnsi" w:eastAsiaTheme="majorEastAsia" w:hAnsiTheme="majorHAnsi" w:cstheme="majorBidi"/>
              <w:color w:val="002060"/>
              <w:sz w:val="40"/>
              <w:szCs w:val="40"/>
            </w:rPr>
            <w:t>Cuarto</w:t>
          </w:r>
          <w:r w:rsidRPr="00F34EB6">
            <w:rPr>
              <w:rFonts w:asciiTheme="majorHAnsi" w:eastAsiaTheme="majorEastAsia" w:hAnsiTheme="majorHAnsi" w:cstheme="majorBidi"/>
              <w:color w:val="002060"/>
              <w:sz w:val="40"/>
              <w:szCs w:val="40"/>
            </w:rPr>
            <w:t xml:space="preserve"> Trimestre de 202</w:t>
          </w:r>
          <w:r w:rsidR="00785308">
            <w:rPr>
              <w:rFonts w:asciiTheme="majorHAnsi" w:eastAsiaTheme="majorEastAsia" w:hAnsiTheme="majorHAnsi" w:cstheme="majorBidi"/>
              <w:color w:val="002060"/>
              <w:sz w:val="40"/>
              <w:szCs w:val="40"/>
            </w:rPr>
            <w:t>4</w:t>
          </w:r>
        </w:p>
        <w:p w14:paraId="58132A41" w14:textId="77777777" w:rsidR="00390370" w:rsidRPr="00F34EB6" w:rsidRDefault="00390370" w:rsidP="00390370">
          <w:pPr>
            <w:jc w:val="center"/>
            <w:rPr>
              <w:rFonts w:asciiTheme="majorHAnsi" w:eastAsiaTheme="majorEastAsia" w:hAnsiTheme="majorHAnsi" w:cstheme="majorBidi"/>
              <w:b/>
              <w:bCs/>
              <w:caps/>
              <w:color w:val="002060"/>
              <w:sz w:val="56"/>
              <w:szCs w:val="56"/>
            </w:rPr>
          </w:pPr>
        </w:p>
        <w:p w14:paraId="6F8BCBA8" w14:textId="77777777" w:rsidR="00390370" w:rsidRPr="00F34EB6" w:rsidRDefault="00390370" w:rsidP="00390370">
          <w:pPr>
            <w:jc w:val="center"/>
            <w:rPr>
              <w:rFonts w:asciiTheme="majorHAnsi" w:eastAsiaTheme="majorEastAsia" w:hAnsiTheme="majorHAnsi" w:cstheme="majorBidi"/>
              <w:b/>
              <w:bCs/>
              <w:caps/>
              <w:color w:val="002060"/>
              <w:sz w:val="56"/>
              <w:szCs w:val="56"/>
            </w:rPr>
          </w:pPr>
        </w:p>
        <w:p w14:paraId="5D89367A" w14:textId="77777777" w:rsidR="00390370" w:rsidRDefault="00390370" w:rsidP="00390370">
          <w:pPr>
            <w:jc w:val="center"/>
            <w:rPr>
              <w:rFonts w:asciiTheme="majorHAnsi" w:eastAsiaTheme="majorEastAsia" w:hAnsiTheme="majorHAnsi" w:cstheme="majorBidi"/>
              <w:b/>
              <w:bCs/>
              <w:caps/>
              <w:color w:val="002060"/>
              <w:sz w:val="56"/>
              <w:szCs w:val="56"/>
            </w:rPr>
          </w:pPr>
        </w:p>
        <w:sdt>
          <w:sdtPr>
            <w:rPr>
              <w:rFonts w:asciiTheme="minorHAnsi" w:eastAsiaTheme="minorHAnsi" w:hAnsiTheme="minorHAnsi" w:cstheme="minorBidi"/>
              <w:color w:val="auto"/>
              <w:kern w:val="2"/>
              <w:sz w:val="24"/>
              <w:szCs w:val="24"/>
              <w:lang w:val="es-ES" w:eastAsia="en-US"/>
              <w14:ligatures w14:val="standardContextual"/>
            </w:rPr>
            <w:id w:val="-544368899"/>
            <w:docPartObj>
              <w:docPartGallery w:val="Table of Contents"/>
              <w:docPartUnique/>
            </w:docPartObj>
          </w:sdtPr>
          <w:sdtEndPr>
            <w:rPr>
              <w:b/>
              <w:bCs/>
            </w:rPr>
          </w:sdtEndPr>
          <w:sdtContent>
            <w:p w14:paraId="06248859" w14:textId="2EBF629F" w:rsidR="00915E11" w:rsidRDefault="00915E11" w:rsidP="00915E11">
              <w:pPr>
                <w:pStyle w:val="TtuloTDC"/>
                <w:jc w:val="center"/>
                <w:rPr>
                  <w:b/>
                  <w:bCs/>
                  <w:sz w:val="24"/>
                  <w:szCs w:val="24"/>
                  <w:lang w:val="es-ES"/>
                </w:rPr>
              </w:pPr>
              <w:r w:rsidRPr="00915E11">
                <w:rPr>
                  <w:b/>
                  <w:bCs/>
                  <w:sz w:val="24"/>
                  <w:szCs w:val="24"/>
                  <w:lang w:val="es-ES"/>
                </w:rPr>
                <w:t>CONTENIDO</w:t>
              </w:r>
            </w:p>
            <w:p w14:paraId="327455A3" w14:textId="77777777" w:rsidR="00915E11" w:rsidRPr="00915E11" w:rsidRDefault="00915E11" w:rsidP="00915E11">
              <w:pPr>
                <w:rPr>
                  <w:lang w:val="es-ES" w:eastAsia="es-CO"/>
                </w:rPr>
              </w:pPr>
            </w:p>
            <w:p w14:paraId="70BAA26D" w14:textId="2934F790" w:rsidR="00915E11" w:rsidRDefault="00915E11">
              <w:pPr>
                <w:pStyle w:val="TDC1"/>
                <w:tabs>
                  <w:tab w:val="left" w:pos="480"/>
                  <w:tab w:val="right" w:leader="dot" w:pos="8828"/>
                </w:tabs>
                <w:rPr>
                  <w:rFonts w:eastAsiaTheme="minorEastAsia"/>
                  <w:noProof/>
                  <w:lang w:eastAsia="es-CO"/>
                </w:rPr>
              </w:pPr>
              <w:r>
                <w:fldChar w:fldCharType="begin"/>
              </w:r>
              <w:r>
                <w:instrText xml:space="preserve"> TOC \o "1-3" \h \z \u </w:instrText>
              </w:r>
              <w:r>
                <w:fldChar w:fldCharType="separate"/>
              </w:r>
              <w:hyperlink w:anchor="_Toc206540844" w:history="1">
                <w:r w:rsidRPr="00C7644B">
                  <w:rPr>
                    <w:rStyle w:val="Hipervnculo"/>
                    <w:rFonts w:ascii="Arial" w:hAnsi="Arial" w:cs="Arial"/>
                    <w:b/>
                    <w:bCs/>
                    <w:noProof/>
                  </w:rPr>
                  <w:t>1.</w:t>
                </w:r>
                <w:r>
                  <w:rPr>
                    <w:rFonts w:eastAsiaTheme="minorEastAsia"/>
                    <w:noProof/>
                    <w:lang w:eastAsia="es-CO"/>
                  </w:rPr>
                  <w:tab/>
                </w:r>
                <w:r w:rsidRPr="00C7644B">
                  <w:rPr>
                    <w:rStyle w:val="Hipervnculo"/>
                    <w:rFonts w:ascii="Arial" w:hAnsi="Arial" w:cs="Arial"/>
                    <w:b/>
                    <w:bCs/>
                    <w:noProof/>
                  </w:rPr>
                  <w:t>Introducción</w:t>
                </w:r>
                <w:r>
                  <w:rPr>
                    <w:noProof/>
                    <w:webHidden/>
                  </w:rPr>
                  <w:tab/>
                </w:r>
                <w:r>
                  <w:rPr>
                    <w:noProof/>
                    <w:webHidden/>
                  </w:rPr>
                  <w:fldChar w:fldCharType="begin"/>
                </w:r>
                <w:r>
                  <w:rPr>
                    <w:noProof/>
                    <w:webHidden/>
                  </w:rPr>
                  <w:instrText xml:space="preserve"> PAGEREF _Toc206540844 \h </w:instrText>
                </w:r>
                <w:r>
                  <w:rPr>
                    <w:noProof/>
                    <w:webHidden/>
                  </w:rPr>
                </w:r>
                <w:r>
                  <w:rPr>
                    <w:noProof/>
                    <w:webHidden/>
                  </w:rPr>
                  <w:fldChar w:fldCharType="separate"/>
                </w:r>
                <w:r w:rsidR="002662B0">
                  <w:rPr>
                    <w:noProof/>
                    <w:webHidden/>
                  </w:rPr>
                  <w:t>2</w:t>
                </w:r>
                <w:r>
                  <w:rPr>
                    <w:noProof/>
                    <w:webHidden/>
                  </w:rPr>
                  <w:fldChar w:fldCharType="end"/>
                </w:r>
              </w:hyperlink>
            </w:p>
            <w:p w14:paraId="42F617D3" w14:textId="366704F0" w:rsidR="00915E11" w:rsidRDefault="002662B0">
              <w:pPr>
                <w:pStyle w:val="TDC2"/>
                <w:tabs>
                  <w:tab w:val="left" w:pos="720"/>
                  <w:tab w:val="right" w:leader="dot" w:pos="8828"/>
                </w:tabs>
                <w:rPr>
                  <w:rFonts w:eastAsiaTheme="minorEastAsia"/>
                  <w:noProof/>
                  <w:lang w:eastAsia="es-CO"/>
                </w:rPr>
              </w:pPr>
              <w:hyperlink w:anchor="_Toc206540845" w:history="1">
                <w:r w:rsidR="00915E11" w:rsidRPr="00C7644B">
                  <w:rPr>
                    <w:rStyle w:val="Hipervnculo"/>
                    <w:rFonts w:ascii="Arial" w:hAnsi="Arial" w:cs="Arial"/>
                    <w:b/>
                    <w:bCs/>
                    <w:noProof/>
                  </w:rPr>
                  <w:t>2.</w:t>
                </w:r>
                <w:r w:rsidR="00915E11">
                  <w:rPr>
                    <w:rFonts w:eastAsiaTheme="minorEastAsia"/>
                    <w:noProof/>
                    <w:lang w:eastAsia="es-CO"/>
                  </w:rPr>
                  <w:tab/>
                </w:r>
                <w:r w:rsidR="00915E11" w:rsidRPr="00C7644B">
                  <w:rPr>
                    <w:rStyle w:val="Hipervnculo"/>
                    <w:rFonts w:ascii="Arial" w:hAnsi="Arial" w:cs="Arial"/>
                    <w:b/>
                    <w:bCs/>
                    <w:noProof/>
                  </w:rPr>
                  <w:t>Objetivo</w:t>
                </w:r>
                <w:r w:rsidR="00915E11">
                  <w:rPr>
                    <w:noProof/>
                    <w:webHidden/>
                  </w:rPr>
                  <w:tab/>
                </w:r>
                <w:r w:rsidR="00915E11">
                  <w:rPr>
                    <w:noProof/>
                    <w:webHidden/>
                  </w:rPr>
                  <w:fldChar w:fldCharType="begin"/>
                </w:r>
                <w:r w:rsidR="00915E11">
                  <w:rPr>
                    <w:noProof/>
                    <w:webHidden/>
                  </w:rPr>
                  <w:instrText xml:space="preserve"> PAGEREF _Toc206540845 \h </w:instrText>
                </w:r>
                <w:r w:rsidR="00915E11">
                  <w:rPr>
                    <w:noProof/>
                    <w:webHidden/>
                  </w:rPr>
                </w:r>
                <w:r w:rsidR="00915E11">
                  <w:rPr>
                    <w:noProof/>
                    <w:webHidden/>
                  </w:rPr>
                  <w:fldChar w:fldCharType="separate"/>
                </w:r>
                <w:r>
                  <w:rPr>
                    <w:noProof/>
                    <w:webHidden/>
                  </w:rPr>
                  <w:t>2</w:t>
                </w:r>
                <w:r w:rsidR="00915E11">
                  <w:rPr>
                    <w:noProof/>
                    <w:webHidden/>
                  </w:rPr>
                  <w:fldChar w:fldCharType="end"/>
                </w:r>
              </w:hyperlink>
            </w:p>
            <w:p w14:paraId="75FCC69A" w14:textId="7AF6971A" w:rsidR="00915E11" w:rsidRDefault="002662B0">
              <w:pPr>
                <w:pStyle w:val="TDC3"/>
                <w:tabs>
                  <w:tab w:val="left" w:pos="960"/>
                  <w:tab w:val="right" w:leader="dot" w:pos="8828"/>
                </w:tabs>
                <w:rPr>
                  <w:noProof/>
                </w:rPr>
              </w:pPr>
              <w:hyperlink w:anchor="_Toc206540846" w:history="1">
                <w:r w:rsidR="00915E11" w:rsidRPr="00C7644B">
                  <w:rPr>
                    <w:rStyle w:val="Hipervnculo"/>
                    <w:rFonts w:ascii="Arial" w:hAnsi="Arial" w:cs="Arial"/>
                    <w:b/>
                    <w:bCs/>
                    <w:noProof/>
                  </w:rPr>
                  <w:t>3.</w:t>
                </w:r>
                <w:r w:rsidR="00915E11">
                  <w:rPr>
                    <w:noProof/>
                  </w:rPr>
                  <w:tab/>
                </w:r>
                <w:r w:rsidR="00915E11" w:rsidRPr="00C7644B">
                  <w:rPr>
                    <w:rStyle w:val="Hipervnculo"/>
                    <w:rFonts w:ascii="Arial" w:hAnsi="Arial" w:cs="Arial"/>
                    <w:b/>
                    <w:bCs/>
                    <w:noProof/>
                  </w:rPr>
                  <w:t>Alcance</w:t>
                </w:r>
                <w:r w:rsidR="00915E11">
                  <w:rPr>
                    <w:noProof/>
                    <w:webHidden/>
                  </w:rPr>
                  <w:tab/>
                </w:r>
                <w:r w:rsidR="00915E11">
                  <w:rPr>
                    <w:noProof/>
                    <w:webHidden/>
                  </w:rPr>
                  <w:fldChar w:fldCharType="begin"/>
                </w:r>
                <w:r w:rsidR="00915E11">
                  <w:rPr>
                    <w:noProof/>
                    <w:webHidden/>
                  </w:rPr>
                  <w:instrText xml:space="preserve"> PAGEREF _Toc206540846 \h </w:instrText>
                </w:r>
                <w:r w:rsidR="00915E11">
                  <w:rPr>
                    <w:noProof/>
                    <w:webHidden/>
                  </w:rPr>
                </w:r>
                <w:r w:rsidR="00915E11">
                  <w:rPr>
                    <w:noProof/>
                    <w:webHidden/>
                  </w:rPr>
                  <w:fldChar w:fldCharType="separate"/>
                </w:r>
                <w:r>
                  <w:rPr>
                    <w:noProof/>
                    <w:webHidden/>
                  </w:rPr>
                  <w:t>3</w:t>
                </w:r>
                <w:r w:rsidR="00915E11">
                  <w:rPr>
                    <w:noProof/>
                    <w:webHidden/>
                  </w:rPr>
                  <w:fldChar w:fldCharType="end"/>
                </w:r>
              </w:hyperlink>
            </w:p>
            <w:p w14:paraId="7D5BF0B0" w14:textId="31BAF05F" w:rsidR="00915E11" w:rsidRDefault="002662B0">
              <w:pPr>
                <w:pStyle w:val="TDC1"/>
                <w:tabs>
                  <w:tab w:val="left" w:pos="480"/>
                  <w:tab w:val="right" w:leader="dot" w:pos="8828"/>
                </w:tabs>
                <w:rPr>
                  <w:rFonts w:eastAsiaTheme="minorEastAsia"/>
                  <w:noProof/>
                  <w:lang w:eastAsia="es-CO"/>
                </w:rPr>
              </w:pPr>
              <w:hyperlink w:anchor="_Toc206540847" w:history="1">
                <w:r w:rsidR="00915E11" w:rsidRPr="00C7644B">
                  <w:rPr>
                    <w:rStyle w:val="Hipervnculo"/>
                    <w:rFonts w:ascii="Arial" w:hAnsi="Arial" w:cs="Arial"/>
                    <w:b/>
                    <w:bCs/>
                    <w:noProof/>
                  </w:rPr>
                  <w:t>4.</w:t>
                </w:r>
                <w:r w:rsidR="00915E11">
                  <w:rPr>
                    <w:rFonts w:eastAsiaTheme="minorEastAsia"/>
                    <w:noProof/>
                    <w:lang w:eastAsia="es-CO"/>
                  </w:rPr>
                  <w:tab/>
                </w:r>
                <w:r w:rsidR="00915E11" w:rsidRPr="00C7644B">
                  <w:rPr>
                    <w:rStyle w:val="Hipervnculo"/>
                    <w:rFonts w:ascii="Arial" w:hAnsi="Arial" w:cs="Arial"/>
                    <w:b/>
                    <w:bCs/>
                    <w:noProof/>
                  </w:rPr>
                  <w:t>Marco Legal</w:t>
                </w:r>
                <w:r w:rsidR="00915E11">
                  <w:rPr>
                    <w:noProof/>
                    <w:webHidden/>
                  </w:rPr>
                  <w:tab/>
                </w:r>
                <w:r w:rsidR="00915E11">
                  <w:rPr>
                    <w:noProof/>
                    <w:webHidden/>
                  </w:rPr>
                  <w:fldChar w:fldCharType="begin"/>
                </w:r>
                <w:r w:rsidR="00915E11">
                  <w:rPr>
                    <w:noProof/>
                    <w:webHidden/>
                  </w:rPr>
                  <w:instrText xml:space="preserve"> PAGEREF _Toc206540847 \h </w:instrText>
                </w:r>
                <w:r w:rsidR="00915E11">
                  <w:rPr>
                    <w:noProof/>
                    <w:webHidden/>
                  </w:rPr>
                </w:r>
                <w:r w:rsidR="00915E11">
                  <w:rPr>
                    <w:noProof/>
                    <w:webHidden/>
                  </w:rPr>
                  <w:fldChar w:fldCharType="separate"/>
                </w:r>
                <w:r>
                  <w:rPr>
                    <w:noProof/>
                    <w:webHidden/>
                  </w:rPr>
                  <w:t>3</w:t>
                </w:r>
                <w:r w:rsidR="00915E11">
                  <w:rPr>
                    <w:noProof/>
                    <w:webHidden/>
                  </w:rPr>
                  <w:fldChar w:fldCharType="end"/>
                </w:r>
              </w:hyperlink>
            </w:p>
            <w:p w14:paraId="4B2D7BC2" w14:textId="13C20F32" w:rsidR="00915E11" w:rsidRDefault="002662B0">
              <w:pPr>
                <w:pStyle w:val="TDC1"/>
                <w:tabs>
                  <w:tab w:val="left" w:pos="480"/>
                  <w:tab w:val="right" w:leader="dot" w:pos="8828"/>
                </w:tabs>
                <w:rPr>
                  <w:rFonts w:eastAsiaTheme="minorEastAsia"/>
                  <w:noProof/>
                  <w:lang w:eastAsia="es-CO"/>
                </w:rPr>
              </w:pPr>
              <w:hyperlink w:anchor="_Toc206540848" w:history="1">
                <w:r w:rsidR="00915E11" w:rsidRPr="00C7644B">
                  <w:rPr>
                    <w:rStyle w:val="Hipervnculo"/>
                    <w:rFonts w:ascii="Arial" w:hAnsi="Arial" w:cs="Arial"/>
                    <w:b/>
                    <w:bCs/>
                    <w:noProof/>
                  </w:rPr>
                  <w:t>5.</w:t>
                </w:r>
                <w:r w:rsidR="00915E11">
                  <w:rPr>
                    <w:rFonts w:eastAsiaTheme="minorEastAsia"/>
                    <w:noProof/>
                    <w:lang w:eastAsia="es-CO"/>
                  </w:rPr>
                  <w:tab/>
                </w:r>
                <w:r w:rsidR="00915E11" w:rsidRPr="00C7644B">
                  <w:rPr>
                    <w:rStyle w:val="Hipervnculo"/>
                    <w:rFonts w:ascii="Arial" w:hAnsi="Arial" w:cs="Arial"/>
                    <w:b/>
                    <w:bCs/>
                    <w:noProof/>
                  </w:rPr>
                  <w:t>Desarrollo del Seguimiento</w:t>
                </w:r>
                <w:r w:rsidR="00915E11">
                  <w:rPr>
                    <w:noProof/>
                    <w:webHidden/>
                  </w:rPr>
                  <w:tab/>
                </w:r>
                <w:r w:rsidR="00915E11">
                  <w:rPr>
                    <w:noProof/>
                    <w:webHidden/>
                  </w:rPr>
                  <w:fldChar w:fldCharType="begin"/>
                </w:r>
                <w:r w:rsidR="00915E11">
                  <w:rPr>
                    <w:noProof/>
                    <w:webHidden/>
                  </w:rPr>
                  <w:instrText xml:space="preserve"> PAGEREF _Toc206540848 \h </w:instrText>
                </w:r>
                <w:r w:rsidR="00915E11">
                  <w:rPr>
                    <w:noProof/>
                    <w:webHidden/>
                  </w:rPr>
                </w:r>
                <w:r w:rsidR="00915E11">
                  <w:rPr>
                    <w:noProof/>
                    <w:webHidden/>
                  </w:rPr>
                  <w:fldChar w:fldCharType="separate"/>
                </w:r>
                <w:r>
                  <w:rPr>
                    <w:noProof/>
                    <w:webHidden/>
                  </w:rPr>
                  <w:t>4</w:t>
                </w:r>
                <w:r w:rsidR="00915E11">
                  <w:rPr>
                    <w:noProof/>
                    <w:webHidden/>
                  </w:rPr>
                  <w:fldChar w:fldCharType="end"/>
                </w:r>
              </w:hyperlink>
            </w:p>
            <w:p w14:paraId="2AF1AA01" w14:textId="6B62AB8A" w:rsidR="00915E11" w:rsidRDefault="002662B0">
              <w:pPr>
                <w:pStyle w:val="TDC2"/>
                <w:tabs>
                  <w:tab w:val="left" w:pos="960"/>
                  <w:tab w:val="right" w:leader="dot" w:pos="8828"/>
                </w:tabs>
                <w:rPr>
                  <w:rFonts w:eastAsiaTheme="minorEastAsia"/>
                  <w:noProof/>
                  <w:lang w:eastAsia="es-CO"/>
                </w:rPr>
              </w:pPr>
              <w:hyperlink w:anchor="_Toc206540849" w:history="1">
                <w:r w:rsidR="00915E11" w:rsidRPr="00C7644B">
                  <w:rPr>
                    <w:rStyle w:val="Hipervnculo"/>
                    <w:rFonts w:ascii="Arial" w:hAnsi="Arial" w:cs="Arial"/>
                    <w:b/>
                    <w:bCs/>
                    <w:noProof/>
                  </w:rPr>
                  <w:t>5.1.</w:t>
                </w:r>
                <w:r w:rsidR="00915E11">
                  <w:rPr>
                    <w:rFonts w:eastAsiaTheme="minorEastAsia"/>
                    <w:noProof/>
                    <w:lang w:eastAsia="es-CO"/>
                  </w:rPr>
                  <w:tab/>
                </w:r>
                <w:r w:rsidR="00915E11" w:rsidRPr="00C7644B">
                  <w:rPr>
                    <w:rStyle w:val="Hipervnculo"/>
                    <w:rFonts w:ascii="Arial" w:hAnsi="Arial" w:cs="Arial"/>
                    <w:b/>
                    <w:bCs/>
                    <w:noProof/>
                    <w:shd w:val="clear" w:color="auto" w:fill="FFFFFF"/>
                  </w:rPr>
                  <w:t>Administración de Personal</w:t>
                </w:r>
                <w:r w:rsidR="00915E11">
                  <w:rPr>
                    <w:noProof/>
                    <w:webHidden/>
                  </w:rPr>
                  <w:tab/>
                </w:r>
                <w:r w:rsidR="00915E11">
                  <w:rPr>
                    <w:noProof/>
                    <w:webHidden/>
                  </w:rPr>
                  <w:fldChar w:fldCharType="begin"/>
                </w:r>
                <w:r w:rsidR="00915E11">
                  <w:rPr>
                    <w:noProof/>
                    <w:webHidden/>
                  </w:rPr>
                  <w:instrText xml:space="preserve"> PAGEREF _Toc206540849 \h </w:instrText>
                </w:r>
                <w:r w:rsidR="00915E11">
                  <w:rPr>
                    <w:noProof/>
                    <w:webHidden/>
                  </w:rPr>
                </w:r>
                <w:r w:rsidR="00915E11">
                  <w:rPr>
                    <w:noProof/>
                    <w:webHidden/>
                  </w:rPr>
                  <w:fldChar w:fldCharType="separate"/>
                </w:r>
                <w:r>
                  <w:rPr>
                    <w:noProof/>
                    <w:webHidden/>
                  </w:rPr>
                  <w:t>4</w:t>
                </w:r>
                <w:r w:rsidR="00915E11">
                  <w:rPr>
                    <w:noProof/>
                    <w:webHidden/>
                  </w:rPr>
                  <w:fldChar w:fldCharType="end"/>
                </w:r>
              </w:hyperlink>
            </w:p>
            <w:p w14:paraId="518A5F0A" w14:textId="3196C85F" w:rsidR="00915E11" w:rsidRPr="00915E11" w:rsidRDefault="002662B0">
              <w:pPr>
                <w:pStyle w:val="TDC3"/>
                <w:tabs>
                  <w:tab w:val="left" w:pos="1440"/>
                  <w:tab w:val="right" w:leader="dot" w:pos="8828"/>
                </w:tabs>
                <w:rPr>
                  <w:noProof/>
                </w:rPr>
              </w:pPr>
              <w:hyperlink w:anchor="_Toc206540851" w:history="1">
                <w:r w:rsidR="00915E11" w:rsidRPr="00915E11">
                  <w:rPr>
                    <w:rStyle w:val="Hipervnculo"/>
                    <w:rFonts w:ascii="Arial" w:hAnsi="Arial" w:cs="Arial"/>
                    <w:noProof/>
                  </w:rPr>
                  <w:t>5.1.1.</w:t>
                </w:r>
                <w:r w:rsidR="00915E11" w:rsidRPr="00915E11">
                  <w:rPr>
                    <w:noProof/>
                  </w:rPr>
                  <w:tab/>
                </w:r>
                <w:r w:rsidR="00915E11" w:rsidRPr="00915E11">
                  <w:rPr>
                    <w:rStyle w:val="Hipervnculo"/>
                    <w:rFonts w:ascii="Arial" w:hAnsi="Arial" w:cs="Arial"/>
                    <w:noProof/>
                  </w:rPr>
                  <w:t>Servicios Personales Asociados a la Nómina</w:t>
                </w:r>
                <w:r w:rsidR="00915E11" w:rsidRPr="00915E11">
                  <w:rPr>
                    <w:noProof/>
                    <w:webHidden/>
                  </w:rPr>
                  <w:tab/>
                </w:r>
                <w:r w:rsidR="00915E11" w:rsidRPr="00915E11">
                  <w:rPr>
                    <w:noProof/>
                    <w:webHidden/>
                  </w:rPr>
                  <w:fldChar w:fldCharType="begin"/>
                </w:r>
                <w:r w:rsidR="00915E11" w:rsidRPr="00915E11">
                  <w:rPr>
                    <w:noProof/>
                    <w:webHidden/>
                  </w:rPr>
                  <w:instrText xml:space="preserve"> PAGEREF _Toc206540851 \h </w:instrText>
                </w:r>
                <w:r w:rsidR="00915E11" w:rsidRPr="00915E11">
                  <w:rPr>
                    <w:noProof/>
                    <w:webHidden/>
                  </w:rPr>
                </w:r>
                <w:r w:rsidR="00915E11" w:rsidRPr="00915E11">
                  <w:rPr>
                    <w:noProof/>
                    <w:webHidden/>
                  </w:rPr>
                  <w:fldChar w:fldCharType="separate"/>
                </w:r>
                <w:r>
                  <w:rPr>
                    <w:noProof/>
                    <w:webHidden/>
                  </w:rPr>
                  <w:t>5</w:t>
                </w:r>
                <w:r w:rsidR="00915E11" w:rsidRPr="00915E11">
                  <w:rPr>
                    <w:noProof/>
                    <w:webHidden/>
                  </w:rPr>
                  <w:fldChar w:fldCharType="end"/>
                </w:r>
              </w:hyperlink>
            </w:p>
            <w:p w14:paraId="446CF3ED" w14:textId="72BBEECE" w:rsidR="00915E11" w:rsidRPr="00915E11" w:rsidRDefault="002662B0">
              <w:pPr>
                <w:pStyle w:val="TDC3"/>
                <w:tabs>
                  <w:tab w:val="left" w:pos="1440"/>
                  <w:tab w:val="right" w:leader="dot" w:pos="8828"/>
                </w:tabs>
                <w:rPr>
                  <w:noProof/>
                </w:rPr>
              </w:pPr>
              <w:hyperlink w:anchor="_Toc206540852" w:history="1">
                <w:r w:rsidR="00915E11" w:rsidRPr="00915E11">
                  <w:rPr>
                    <w:rStyle w:val="Hipervnculo"/>
                    <w:rFonts w:ascii="Arial" w:hAnsi="Arial" w:cs="Arial"/>
                    <w:noProof/>
                  </w:rPr>
                  <w:t>5.1.2.</w:t>
                </w:r>
                <w:r w:rsidR="00915E11" w:rsidRPr="00915E11">
                  <w:rPr>
                    <w:noProof/>
                  </w:rPr>
                  <w:tab/>
                </w:r>
                <w:r w:rsidR="00915E11" w:rsidRPr="00915E11">
                  <w:rPr>
                    <w:rStyle w:val="Hipervnculo"/>
                    <w:rFonts w:ascii="Arial" w:hAnsi="Arial" w:cs="Arial"/>
                    <w:noProof/>
                  </w:rPr>
                  <w:t>Factores Salariales Comunes</w:t>
                </w:r>
                <w:r w:rsidR="00915E11" w:rsidRPr="00915E11">
                  <w:rPr>
                    <w:noProof/>
                    <w:webHidden/>
                  </w:rPr>
                  <w:tab/>
                </w:r>
                <w:r w:rsidR="00915E11" w:rsidRPr="00915E11">
                  <w:rPr>
                    <w:noProof/>
                    <w:webHidden/>
                  </w:rPr>
                  <w:fldChar w:fldCharType="begin"/>
                </w:r>
                <w:r w:rsidR="00915E11" w:rsidRPr="00915E11">
                  <w:rPr>
                    <w:noProof/>
                    <w:webHidden/>
                  </w:rPr>
                  <w:instrText xml:space="preserve"> PAGEREF _Toc206540852 \h </w:instrText>
                </w:r>
                <w:r w:rsidR="00915E11" w:rsidRPr="00915E11">
                  <w:rPr>
                    <w:noProof/>
                    <w:webHidden/>
                  </w:rPr>
                </w:r>
                <w:r w:rsidR="00915E11" w:rsidRPr="00915E11">
                  <w:rPr>
                    <w:noProof/>
                    <w:webHidden/>
                  </w:rPr>
                  <w:fldChar w:fldCharType="separate"/>
                </w:r>
                <w:r>
                  <w:rPr>
                    <w:noProof/>
                    <w:webHidden/>
                  </w:rPr>
                  <w:t>5</w:t>
                </w:r>
                <w:r w:rsidR="00915E11" w:rsidRPr="00915E11">
                  <w:rPr>
                    <w:noProof/>
                    <w:webHidden/>
                  </w:rPr>
                  <w:fldChar w:fldCharType="end"/>
                </w:r>
              </w:hyperlink>
            </w:p>
            <w:p w14:paraId="22D69727" w14:textId="5FBBC79D" w:rsidR="00915E11" w:rsidRPr="00915E11" w:rsidRDefault="002662B0">
              <w:pPr>
                <w:pStyle w:val="TDC3"/>
                <w:tabs>
                  <w:tab w:val="left" w:pos="1440"/>
                  <w:tab w:val="right" w:leader="dot" w:pos="8828"/>
                </w:tabs>
                <w:rPr>
                  <w:noProof/>
                </w:rPr>
              </w:pPr>
              <w:hyperlink w:anchor="_Toc206540853" w:history="1">
                <w:r w:rsidR="00915E11" w:rsidRPr="00915E11">
                  <w:rPr>
                    <w:rStyle w:val="Hipervnculo"/>
                    <w:rFonts w:ascii="Arial" w:hAnsi="Arial" w:cs="Arial"/>
                    <w:noProof/>
                  </w:rPr>
                  <w:t>5.1.3.</w:t>
                </w:r>
                <w:r w:rsidR="00915E11" w:rsidRPr="00915E11">
                  <w:rPr>
                    <w:noProof/>
                  </w:rPr>
                  <w:tab/>
                </w:r>
                <w:r w:rsidR="00915E11" w:rsidRPr="00915E11">
                  <w:rPr>
                    <w:rStyle w:val="Hipervnculo"/>
                    <w:rFonts w:ascii="Arial" w:hAnsi="Arial" w:cs="Arial"/>
                    <w:noProof/>
                  </w:rPr>
                  <w:t>Adquisición de Bienes y Servicios</w:t>
                </w:r>
                <w:r w:rsidR="00915E11" w:rsidRPr="00915E11">
                  <w:rPr>
                    <w:noProof/>
                    <w:webHidden/>
                  </w:rPr>
                  <w:tab/>
                </w:r>
                <w:r w:rsidR="00915E11" w:rsidRPr="00915E11">
                  <w:rPr>
                    <w:noProof/>
                    <w:webHidden/>
                  </w:rPr>
                  <w:fldChar w:fldCharType="begin"/>
                </w:r>
                <w:r w:rsidR="00915E11" w:rsidRPr="00915E11">
                  <w:rPr>
                    <w:noProof/>
                    <w:webHidden/>
                  </w:rPr>
                  <w:instrText xml:space="preserve"> PAGEREF _Toc206540853 \h </w:instrText>
                </w:r>
                <w:r w:rsidR="00915E11" w:rsidRPr="00915E11">
                  <w:rPr>
                    <w:noProof/>
                    <w:webHidden/>
                  </w:rPr>
                </w:r>
                <w:r w:rsidR="00915E11" w:rsidRPr="00915E11">
                  <w:rPr>
                    <w:noProof/>
                    <w:webHidden/>
                  </w:rPr>
                  <w:fldChar w:fldCharType="separate"/>
                </w:r>
                <w:r>
                  <w:rPr>
                    <w:noProof/>
                    <w:webHidden/>
                  </w:rPr>
                  <w:t>7</w:t>
                </w:r>
                <w:r w:rsidR="00915E11" w:rsidRPr="00915E11">
                  <w:rPr>
                    <w:noProof/>
                    <w:webHidden/>
                  </w:rPr>
                  <w:fldChar w:fldCharType="end"/>
                </w:r>
              </w:hyperlink>
            </w:p>
            <w:p w14:paraId="1D7174A8" w14:textId="26C83677" w:rsidR="00915E11" w:rsidRDefault="002662B0">
              <w:pPr>
                <w:pStyle w:val="TDC1"/>
                <w:tabs>
                  <w:tab w:val="left" w:pos="480"/>
                  <w:tab w:val="right" w:leader="dot" w:pos="8828"/>
                </w:tabs>
                <w:rPr>
                  <w:rFonts w:eastAsiaTheme="minorEastAsia"/>
                  <w:noProof/>
                  <w:lang w:eastAsia="es-CO"/>
                </w:rPr>
              </w:pPr>
              <w:hyperlink w:anchor="_Toc206540854" w:history="1">
                <w:r w:rsidR="00915E11" w:rsidRPr="00C7644B">
                  <w:rPr>
                    <w:rStyle w:val="Hipervnculo"/>
                    <w:rFonts w:ascii="Arial" w:hAnsi="Arial" w:cs="Arial"/>
                    <w:b/>
                    <w:bCs/>
                    <w:noProof/>
                  </w:rPr>
                  <w:t>6.</w:t>
                </w:r>
                <w:r w:rsidR="00915E11">
                  <w:rPr>
                    <w:rFonts w:eastAsiaTheme="minorEastAsia"/>
                    <w:noProof/>
                    <w:lang w:eastAsia="es-CO"/>
                  </w:rPr>
                  <w:tab/>
                </w:r>
                <w:r w:rsidR="00915E11" w:rsidRPr="00C7644B">
                  <w:rPr>
                    <w:rStyle w:val="Hipervnculo"/>
                    <w:rFonts w:ascii="Arial" w:hAnsi="Arial" w:cs="Arial"/>
                    <w:b/>
                    <w:bCs/>
                    <w:noProof/>
                  </w:rPr>
                  <w:t>Conclusiones</w:t>
                </w:r>
                <w:r w:rsidR="00915E11">
                  <w:rPr>
                    <w:noProof/>
                    <w:webHidden/>
                  </w:rPr>
                  <w:tab/>
                </w:r>
                <w:r w:rsidR="00915E11">
                  <w:rPr>
                    <w:noProof/>
                    <w:webHidden/>
                  </w:rPr>
                  <w:fldChar w:fldCharType="begin"/>
                </w:r>
                <w:r w:rsidR="00915E11">
                  <w:rPr>
                    <w:noProof/>
                    <w:webHidden/>
                  </w:rPr>
                  <w:instrText xml:space="preserve"> PAGEREF _Toc206540854 \h </w:instrText>
                </w:r>
                <w:r w:rsidR="00915E11">
                  <w:rPr>
                    <w:noProof/>
                    <w:webHidden/>
                  </w:rPr>
                </w:r>
                <w:r w:rsidR="00915E11">
                  <w:rPr>
                    <w:noProof/>
                    <w:webHidden/>
                  </w:rPr>
                  <w:fldChar w:fldCharType="separate"/>
                </w:r>
                <w:r>
                  <w:rPr>
                    <w:noProof/>
                    <w:webHidden/>
                  </w:rPr>
                  <w:t>12</w:t>
                </w:r>
                <w:r w:rsidR="00915E11">
                  <w:rPr>
                    <w:noProof/>
                    <w:webHidden/>
                  </w:rPr>
                  <w:fldChar w:fldCharType="end"/>
                </w:r>
              </w:hyperlink>
            </w:p>
            <w:p w14:paraId="2495216E" w14:textId="0F062B50" w:rsidR="00915E11" w:rsidRDefault="002662B0">
              <w:pPr>
                <w:pStyle w:val="TDC1"/>
                <w:tabs>
                  <w:tab w:val="left" w:pos="480"/>
                  <w:tab w:val="right" w:leader="dot" w:pos="8828"/>
                </w:tabs>
                <w:rPr>
                  <w:rFonts w:eastAsiaTheme="minorEastAsia"/>
                  <w:noProof/>
                  <w:lang w:eastAsia="es-CO"/>
                </w:rPr>
              </w:pPr>
              <w:hyperlink w:anchor="_Toc206540855" w:history="1">
                <w:r w:rsidR="00915E11" w:rsidRPr="00C7644B">
                  <w:rPr>
                    <w:rStyle w:val="Hipervnculo"/>
                    <w:rFonts w:ascii="Arial" w:hAnsi="Arial" w:cs="Arial"/>
                    <w:b/>
                    <w:bCs/>
                    <w:noProof/>
                  </w:rPr>
                  <w:t>7.</w:t>
                </w:r>
                <w:r w:rsidR="00915E11">
                  <w:rPr>
                    <w:rFonts w:eastAsiaTheme="minorEastAsia"/>
                    <w:noProof/>
                    <w:lang w:eastAsia="es-CO"/>
                  </w:rPr>
                  <w:tab/>
                </w:r>
                <w:r w:rsidR="00915E11" w:rsidRPr="00C7644B">
                  <w:rPr>
                    <w:rStyle w:val="Hipervnculo"/>
                    <w:rFonts w:ascii="Arial" w:hAnsi="Arial" w:cs="Arial"/>
                    <w:b/>
                    <w:bCs/>
                    <w:noProof/>
                  </w:rPr>
                  <w:t>Recomendaciones</w:t>
                </w:r>
                <w:r w:rsidR="00915E11">
                  <w:rPr>
                    <w:noProof/>
                    <w:webHidden/>
                  </w:rPr>
                  <w:tab/>
                </w:r>
                <w:r w:rsidR="00915E11">
                  <w:rPr>
                    <w:noProof/>
                    <w:webHidden/>
                  </w:rPr>
                  <w:fldChar w:fldCharType="begin"/>
                </w:r>
                <w:r w:rsidR="00915E11">
                  <w:rPr>
                    <w:noProof/>
                    <w:webHidden/>
                  </w:rPr>
                  <w:instrText xml:space="preserve"> PAGEREF _Toc206540855 \h </w:instrText>
                </w:r>
                <w:r w:rsidR="00915E11">
                  <w:rPr>
                    <w:noProof/>
                    <w:webHidden/>
                  </w:rPr>
                </w:r>
                <w:r w:rsidR="00915E11">
                  <w:rPr>
                    <w:noProof/>
                    <w:webHidden/>
                  </w:rPr>
                  <w:fldChar w:fldCharType="separate"/>
                </w:r>
                <w:r>
                  <w:rPr>
                    <w:noProof/>
                    <w:webHidden/>
                  </w:rPr>
                  <w:t>12</w:t>
                </w:r>
                <w:r w:rsidR="00915E11">
                  <w:rPr>
                    <w:noProof/>
                    <w:webHidden/>
                  </w:rPr>
                  <w:fldChar w:fldCharType="end"/>
                </w:r>
              </w:hyperlink>
            </w:p>
            <w:p w14:paraId="428F7A6D" w14:textId="54F5B32A" w:rsidR="00915E11" w:rsidRDefault="00915E11">
              <w:r>
                <w:rPr>
                  <w:b/>
                  <w:bCs/>
                  <w:lang w:val="es-ES"/>
                </w:rPr>
                <w:fldChar w:fldCharType="end"/>
              </w:r>
            </w:p>
          </w:sdtContent>
        </w:sdt>
        <w:p w14:paraId="04519A8C" w14:textId="77777777" w:rsidR="00915E11" w:rsidRDefault="00915E11" w:rsidP="00390370">
          <w:pPr>
            <w:jc w:val="center"/>
            <w:rPr>
              <w:rFonts w:asciiTheme="majorHAnsi" w:eastAsiaTheme="majorEastAsia" w:hAnsiTheme="majorHAnsi" w:cstheme="majorBidi"/>
              <w:b/>
              <w:bCs/>
              <w:caps/>
              <w:color w:val="002060"/>
              <w:sz w:val="56"/>
              <w:szCs w:val="56"/>
            </w:rPr>
          </w:pPr>
        </w:p>
        <w:p w14:paraId="63FAF3A4" w14:textId="77777777" w:rsidR="00915E11" w:rsidRDefault="00915E11" w:rsidP="00390370">
          <w:pPr>
            <w:jc w:val="center"/>
            <w:rPr>
              <w:rFonts w:asciiTheme="majorHAnsi" w:eastAsiaTheme="majorEastAsia" w:hAnsiTheme="majorHAnsi" w:cstheme="majorBidi"/>
              <w:b/>
              <w:bCs/>
              <w:caps/>
              <w:color w:val="002060"/>
              <w:sz w:val="56"/>
              <w:szCs w:val="56"/>
            </w:rPr>
          </w:pPr>
        </w:p>
        <w:p w14:paraId="67E5B92A" w14:textId="77777777" w:rsidR="00915E11" w:rsidRDefault="00915E11" w:rsidP="00390370">
          <w:pPr>
            <w:jc w:val="center"/>
            <w:rPr>
              <w:rFonts w:asciiTheme="majorHAnsi" w:eastAsiaTheme="majorEastAsia" w:hAnsiTheme="majorHAnsi" w:cstheme="majorBidi"/>
              <w:b/>
              <w:bCs/>
              <w:caps/>
              <w:color w:val="002060"/>
              <w:sz w:val="56"/>
              <w:szCs w:val="56"/>
            </w:rPr>
          </w:pPr>
        </w:p>
        <w:p w14:paraId="0197E7A8" w14:textId="77777777" w:rsidR="00915E11" w:rsidRDefault="00915E11" w:rsidP="00390370">
          <w:pPr>
            <w:jc w:val="center"/>
            <w:rPr>
              <w:rFonts w:asciiTheme="majorHAnsi" w:eastAsiaTheme="majorEastAsia" w:hAnsiTheme="majorHAnsi" w:cstheme="majorBidi"/>
              <w:b/>
              <w:bCs/>
              <w:caps/>
              <w:color w:val="002060"/>
              <w:sz w:val="56"/>
              <w:szCs w:val="56"/>
            </w:rPr>
          </w:pPr>
        </w:p>
        <w:p w14:paraId="555C92A0" w14:textId="77777777" w:rsidR="00915E11" w:rsidRDefault="00915E11" w:rsidP="00390370">
          <w:pPr>
            <w:jc w:val="center"/>
            <w:rPr>
              <w:rFonts w:asciiTheme="majorHAnsi" w:eastAsiaTheme="majorEastAsia" w:hAnsiTheme="majorHAnsi" w:cstheme="majorBidi"/>
              <w:b/>
              <w:bCs/>
              <w:caps/>
              <w:color w:val="002060"/>
              <w:sz w:val="56"/>
              <w:szCs w:val="56"/>
            </w:rPr>
          </w:pPr>
        </w:p>
        <w:p w14:paraId="39A246CF" w14:textId="77777777" w:rsidR="00915E11" w:rsidRDefault="00915E11" w:rsidP="00390370">
          <w:pPr>
            <w:jc w:val="center"/>
            <w:rPr>
              <w:rFonts w:asciiTheme="majorHAnsi" w:eastAsiaTheme="majorEastAsia" w:hAnsiTheme="majorHAnsi" w:cstheme="majorBidi"/>
              <w:b/>
              <w:bCs/>
              <w:caps/>
              <w:color w:val="002060"/>
              <w:sz w:val="56"/>
              <w:szCs w:val="56"/>
            </w:rPr>
          </w:pPr>
        </w:p>
        <w:p w14:paraId="45042C3F" w14:textId="77777777" w:rsidR="00915E11" w:rsidRDefault="00915E11" w:rsidP="00390370">
          <w:pPr>
            <w:jc w:val="center"/>
            <w:rPr>
              <w:rFonts w:asciiTheme="majorHAnsi" w:eastAsiaTheme="majorEastAsia" w:hAnsiTheme="majorHAnsi" w:cstheme="majorBidi"/>
              <w:b/>
              <w:bCs/>
              <w:caps/>
              <w:color w:val="002060"/>
              <w:sz w:val="56"/>
              <w:szCs w:val="56"/>
            </w:rPr>
          </w:pPr>
        </w:p>
        <w:p w14:paraId="57B2D9C1" w14:textId="77777777" w:rsidR="00915E11" w:rsidRPr="00F34EB6" w:rsidRDefault="00915E11" w:rsidP="00390370">
          <w:pPr>
            <w:jc w:val="center"/>
            <w:rPr>
              <w:rFonts w:asciiTheme="majorHAnsi" w:eastAsiaTheme="majorEastAsia" w:hAnsiTheme="majorHAnsi" w:cstheme="majorBidi"/>
              <w:b/>
              <w:bCs/>
              <w:caps/>
              <w:color w:val="002060"/>
              <w:sz w:val="56"/>
              <w:szCs w:val="56"/>
            </w:rPr>
          </w:pPr>
        </w:p>
        <w:p w14:paraId="55725122" w14:textId="095A53A0" w:rsidR="000B57FA" w:rsidRPr="00F34EB6" w:rsidRDefault="002662B0" w:rsidP="00390370">
          <w:pPr>
            <w:rPr>
              <w:rFonts w:ascii="Arial" w:hAnsi="Arial" w:cs="Arial"/>
              <w:b/>
              <w:bCs/>
              <w:sz w:val="28"/>
              <w:szCs w:val="28"/>
            </w:rPr>
          </w:pPr>
        </w:p>
      </w:sdtContent>
    </w:sdt>
    <w:sdt>
      <w:sdtPr>
        <w:rPr>
          <w:rFonts w:asciiTheme="majorHAnsi" w:eastAsiaTheme="majorEastAsia" w:hAnsiTheme="majorHAnsi" w:cstheme="majorBidi"/>
          <w:b/>
          <w:bCs/>
          <w:caps/>
          <w:color w:val="002060"/>
          <w:sz w:val="24"/>
          <w:szCs w:val="24"/>
        </w:rPr>
        <w:alias w:val="Título"/>
        <w:tag w:val=""/>
        <w:id w:val="-1188283449"/>
        <w:placeholder>
          <w:docPart w:val="3B60A2CC4177408D98306281B2E56641"/>
        </w:placeholder>
        <w:dataBinding w:prefixMappings="xmlns:ns0='http://purl.org/dc/elements/1.1/' xmlns:ns1='http://schemas.openxmlformats.org/package/2006/metadata/core-properties' " w:xpath="/ns1:coreProperties[1]/ns0:title[1]" w:storeItemID="{6C3C8BC8-F283-45AE-878A-BAB7291924A1}"/>
        <w:text/>
      </w:sdtPr>
      <w:sdtEndPr/>
      <w:sdtContent>
        <w:p w14:paraId="4ED83C79" w14:textId="608D36A1" w:rsidR="0030573E" w:rsidRPr="00F34EB6" w:rsidRDefault="00FD6E64" w:rsidP="0030573E">
          <w:pPr>
            <w:pStyle w:val="Sinespaciado"/>
            <w:pBdr>
              <w:top w:val="single" w:sz="6" w:space="6" w:color="156082" w:themeColor="accent1"/>
              <w:bottom w:val="single" w:sz="6" w:space="6" w:color="156082" w:themeColor="accent1"/>
            </w:pBdr>
            <w:spacing w:after="240"/>
            <w:jc w:val="center"/>
            <w:rPr>
              <w:rFonts w:asciiTheme="majorHAnsi" w:eastAsiaTheme="majorEastAsia" w:hAnsiTheme="majorHAnsi" w:cstheme="majorBidi"/>
              <w:b/>
              <w:bCs/>
              <w:caps/>
              <w:color w:val="002060"/>
              <w:sz w:val="24"/>
              <w:szCs w:val="24"/>
            </w:rPr>
          </w:pPr>
          <w:r>
            <w:rPr>
              <w:rFonts w:asciiTheme="majorHAnsi" w:eastAsiaTheme="majorEastAsia" w:hAnsiTheme="majorHAnsi" w:cstheme="majorBidi"/>
              <w:b/>
              <w:bCs/>
              <w:caps/>
              <w:color w:val="002060"/>
              <w:sz w:val="24"/>
              <w:szCs w:val="24"/>
            </w:rPr>
            <w:t>INFORME TRIMESTRAL DE AUSTERIDAD DEL GASTO CUARTO TIRMESTE DE 2024</w:t>
          </w:r>
        </w:p>
      </w:sdtContent>
    </w:sdt>
    <w:p w14:paraId="0FE59221" w14:textId="77777777" w:rsidR="00483F0B" w:rsidRPr="00F34EB6" w:rsidRDefault="00483F0B" w:rsidP="00483F0B">
      <w:pPr>
        <w:jc w:val="center"/>
        <w:rPr>
          <w:rFonts w:ascii="Arial" w:hAnsi="Arial" w:cs="Arial"/>
          <w:b/>
          <w:bCs/>
          <w:sz w:val="28"/>
          <w:szCs w:val="28"/>
        </w:rPr>
      </w:pPr>
    </w:p>
    <w:p w14:paraId="0CBF0386" w14:textId="00AA5611" w:rsidR="00483F0B" w:rsidRPr="00F34EB6" w:rsidRDefault="00483F0B" w:rsidP="00483F0B">
      <w:pPr>
        <w:pStyle w:val="Prrafodelista"/>
        <w:numPr>
          <w:ilvl w:val="0"/>
          <w:numId w:val="11"/>
        </w:numPr>
        <w:outlineLvl w:val="0"/>
        <w:rPr>
          <w:rFonts w:ascii="Arial" w:hAnsi="Arial" w:cs="Arial"/>
          <w:b/>
          <w:bCs/>
        </w:rPr>
      </w:pPr>
      <w:bookmarkStart w:id="0" w:name="_Toc206540844"/>
      <w:r w:rsidRPr="00F34EB6">
        <w:rPr>
          <w:rFonts w:ascii="Arial" w:hAnsi="Arial" w:cs="Arial"/>
          <w:b/>
          <w:bCs/>
        </w:rPr>
        <w:t>Introducción</w:t>
      </w:r>
      <w:bookmarkEnd w:id="0"/>
      <w:r w:rsidRPr="00F34EB6">
        <w:rPr>
          <w:rFonts w:ascii="Arial" w:hAnsi="Arial" w:cs="Arial"/>
          <w:b/>
          <w:bCs/>
        </w:rPr>
        <w:t xml:space="preserve"> </w:t>
      </w:r>
    </w:p>
    <w:p w14:paraId="184D08E0" w14:textId="1D8B1B08" w:rsidR="008326DD" w:rsidRPr="00F34EB6" w:rsidRDefault="008326DD" w:rsidP="008326DD">
      <w:pPr>
        <w:spacing w:line="360" w:lineRule="auto"/>
        <w:jc w:val="both"/>
        <w:rPr>
          <w:rFonts w:ascii="Arial" w:hAnsi="Arial" w:cs="Arial"/>
        </w:rPr>
      </w:pPr>
      <w:r w:rsidRPr="00F34EB6">
        <w:rPr>
          <w:rFonts w:ascii="Arial" w:hAnsi="Arial" w:cs="Arial"/>
        </w:rPr>
        <w:t xml:space="preserve">En cumplimiento de la normatividad vigente en materia de austeridad del gasto público, la Oficina de Control Interno de la RAP Eje Cafetero presenta el informe de “Austeridad y Eficiencia del Gasto Público”, correspondiente al </w:t>
      </w:r>
      <w:r w:rsidR="00FD6E64">
        <w:rPr>
          <w:rFonts w:ascii="Arial" w:hAnsi="Arial" w:cs="Arial"/>
        </w:rPr>
        <w:t>cuarto</w:t>
      </w:r>
      <w:r w:rsidRPr="00F34EB6">
        <w:rPr>
          <w:rFonts w:ascii="Arial" w:hAnsi="Arial" w:cs="Arial"/>
        </w:rPr>
        <w:t xml:space="preserve"> trimestre de 202</w:t>
      </w:r>
      <w:r w:rsidR="00FD6E64">
        <w:rPr>
          <w:rFonts w:ascii="Arial" w:hAnsi="Arial" w:cs="Arial"/>
        </w:rPr>
        <w:t>4</w:t>
      </w:r>
      <w:r w:rsidRPr="00F34EB6">
        <w:rPr>
          <w:rFonts w:ascii="Arial" w:hAnsi="Arial" w:cs="Arial"/>
        </w:rPr>
        <w:t xml:space="preserve">. Este documento se constituye en un instrumento de control y seguimiento a la ejecución de los recursos institucionales, con el propósito de verificar el grado de cumplimiento de las disposiciones nacionales y las directrices internas en torno al manejo responsable y eficiente del presupuesto de la entidad durante el periodo comprendido entre </w:t>
      </w:r>
      <w:r w:rsidR="00FD6E64">
        <w:rPr>
          <w:rFonts w:ascii="Arial" w:hAnsi="Arial" w:cs="Arial"/>
        </w:rPr>
        <w:t xml:space="preserve">octubre y diciembre </w:t>
      </w:r>
      <w:r w:rsidRPr="00F34EB6">
        <w:rPr>
          <w:rFonts w:ascii="Arial" w:hAnsi="Arial" w:cs="Arial"/>
        </w:rPr>
        <w:t>de 202</w:t>
      </w:r>
      <w:r w:rsidR="00FD6E64">
        <w:rPr>
          <w:rFonts w:ascii="Arial" w:hAnsi="Arial" w:cs="Arial"/>
        </w:rPr>
        <w:t>4</w:t>
      </w:r>
      <w:r w:rsidRPr="00F34EB6">
        <w:rPr>
          <w:rFonts w:ascii="Arial" w:hAnsi="Arial" w:cs="Arial"/>
        </w:rPr>
        <w:t>.</w:t>
      </w:r>
    </w:p>
    <w:p w14:paraId="5E5A2E6C" w14:textId="0505E328" w:rsidR="008326DD" w:rsidRPr="00F34EB6" w:rsidRDefault="008326DD" w:rsidP="008326DD">
      <w:pPr>
        <w:spacing w:line="360" w:lineRule="auto"/>
        <w:jc w:val="both"/>
        <w:rPr>
          <w:rFonts w:ascii="Arial" w:hAnsi="Arial" w:cs="Arial"/>
        </w:rPr>
      </w:pPr>
      <w:r w:rsidRPr="00F34EB6">
        <w:rPr>
          <w:rFonts w:ascii="Arial" w:hAnsi="Arial" w:cs="Arial"/>
        </w:rPr>
        <w:t>El informe abarca el análisis de los principales rubros presupuestales asociados a gastos de personal, contratación de servicios</w:t>
      </w:r>
      <w:r w:rsidR="00D2276C" w:rsidRPr="00F34EB6">
        <w:rPr>
          <w:rFonts w:ascii="Arial" w:hAnsi="Arial" w:cs="Arial"/>
        </w:rPr>
        <w:t xml:space="preserve"> y servicios administrativos , los cuales comprende todo lo relacionado con los materiales y suministro, servicios públicos , entre otros. </w:t>
      </w:r>
      <w:r w:rsidRPr="00F34EB6">
        <w:rPr>
          <w:rFonts w:ascii="Arial" w:hAnsi="Arial" w:cs="Arial"/>
        </w:rPr>
        <w:t>Para ello se emplearon metodologías de comparación con periodos anteriore</w:t>
      </w:r>
      <w:r w:rsidR="00D2276C" w:rsidRPr="00F34EB6">
        <w:rPr>
          <w:rFonts w:ascii="Arial" w:hAnsi="Arial" w:cs="Arial"/>
        </w:rPr>
        <w:t xml:space="preserve">s </w:t>
      </w:r>
      <w:r w:rsidRPr="00F34EB6">
        <w:rPr>
          <w:rFonts w:ascii="Arial" w:hAnsi="Arial" w:cs="Arial"/>
        </w:rPr>
        <w:t>y análisis de variaciones significativas que permiten identificar tendencias y oportunidades de optimización en el uso de los recursos públicos.</w:t>
      </w:r>
    </w:p>
    <w:p w14:paraId="422B65BE" w14:textId="7808863A" w:rsidR="008326DD" w:rsidRPr="00F34EB6" w:rsidRDefault="008326DD" w:rsidP="008326DD">
      <w:pPr>
        <w:spacing w:line="360" w:lineRule="auto"/>
        <w:jc w:val="both"/>
        <w:rPr>
          <w:rFonts w:ascii="Arial" w:hAnsi="Arial" w:cs="Arial"/>
        </w:rPr>
      </w:pPr>
      <w:r w:rsidRPr="00F34EB6">
        <w:rPr>
          <w:rFonts w:ascii="Arial" w:hAnsi="Arial" w:cs="Arial"/>
        </w:rPr>
        <w:t>Este ejercicio de seguimiento y análisis tiene como finalidad señalar los aspectos que requieren fortalecimiento. Al mismo tiempo, constituye una herramienta para la toma de decisiones estratégicas, orientadas a garantizar que la administración de los recursos públicos se desarrolle bajo criterios de eficiencia, racionalidad y responsabilidad, en beneficio de la gestión institucional y de los territorios que conforman la RAP-E Eje Cafetero.</w:t>
      </w:r>
    </w:p>
    <w:p w14:paraId="1A6855D9" w14:textId="1F2E212E" w:rsidR="00483F0B" w:rsidRPr="00F34EB6" w:rsidRDefault="00D2276C" w:rsidP="00D470CC">
      <w:pPr>
        <w:pStyle w:val="Prrafodelista"/>
        <w:numPr>
          <w:ilvl w:val="0"/>
          <w:numId w:val="11"/>
        </w:numPr>
        <w:spacing w:line="360" w:lineRule="auto"/>
        <w:jc w:val="both"/>
        <w:outlineLvl w:val="1"/>
        <w:rPr>
          <w:rFonts w:ascii="Arial" w:hAnsi="Arial" w:cs="Arial"/>
          <w:b/>
          <w:bCs/>
        </w:rPr>
      </w:pPr>
      <w:bookmarkStart w:id="1" w:name="_Toc206540845"/>
      <w:r w:rsidRPr="00F34EB6">
        <w:rPr>
          <w:rFonts w:ascii="Arial" w:hAnsi="Arial" w:cs="Arial"/>
          <w:b/>
          <w:bCs/>
        </w:rPr>
        <w:t>Objetivo</w:t>
      </w:r>
      <w:bookmarkEnd w:id="1"/>
      <w:r w:rsidRPr="00F34EB6">
        <w:rPr>
          <w:rFonts w:ascii="Arial" w:hAnsi="Arial" w:cs="Arial"/>
          <w:b/>
          <w:bCs/>
        </w:rPr>
        <w:t xml:space="preserve"> </w:t>
      </w:r>
    </w:p>
    <w:p w14:paraId="4DCA631C" w14:textId="45140077" w:rsidR="001D153A" w:rsidRPr="00F34EB6" w:rsidRDefault="001D153A" w:rsidP="001D153A">
      <w:pPr>
        <w:spacing w:line="360" w:lineRule="auto"/>
        <w:jc w:val="both"/>
        <w:rPr>
          <w:rFonts w:ascii="Arial" w:hAnsi="Arial" w:cs="Arial"/>
        </w:rPr>
      </w:pPr>
      <w:r w:rsidRPr="00F34EB6">
        <w:rPr>
          <w:rFonts w:ascii="Arial" w:hAnsi="Arial" w:cs="Arial"/>
        </w:rPr>
        <w:t xml:space="preserve">Realizar la verificación y análisis de la ejecución presupuestal de la RAP-E Eje Cafetero durante el </w:t>
      </w:r>
      <w:r w:rsidR="00EA7CD8">
        <w:rPr>
          <w:rFonts w:ascii="Arial" w:hAnsi="Arial" w:cs="Arial"/>
        </w:rPr>
        <w:t>cuarto</w:t>
      </w:r>
      <w:r w:rsidRPr="00F34EB6">
        <w:rPr>
          <w:rFonts w:ascii="Arial" w:hAnsi="Arial" w:cs="Arial"/>
        </w:rPr>
        <w:t xml:space="preserve"> trimestre de 202</w:t>
      </w:r>
      <w:r w:rsidR="00EA7CD8">
        <w:rPr>
          <w:rFonts w:ascii="Arial" w:hAnsi="Arial" w:cs="Arial"/>
        </w:rPr>
        <w:t>4</w:t>
      </w:r>
      <w:r w:rsidRPr="00F34EB6">
        <w:rPr>
          <w:rFonts w:ascii="Arial" w:hAnsi="Arial" w:cs="Arial"/>
        </w:rPr>
        <w:t xml:space="preserve">, con el fin de evaluar el grado de cumplimiento de las disposiciones y políticas de austeridad y eficiencia del gasto público, identificar avances y áreas de mejora en la gestión de los recursos, y presentar un informe detallado que sirva como insumo para la toma de decisiones. </w:t>
      </w:r>
    </w:p>
    <w:p w14:paraId="54D17294" w14:textId="77777777" w:rsidR="001D153A" w:rsidRPr="00F34EB6" w:rsidRDefault="001D153A" w:rsidP="00483F0B">
      <w:pPr>
        <w:spacing w:line="360" w:lineRule="auto"/>
        <w:jc w:val="both"/>
        <w:rPr>
          <w:rFonts w:ascii="Arial" w:hAnsi="Arial" w:cs="Arial"/>
        </w:rPr>
      </w:pPr>
    </w:p>
    <w:p w14:paraId="7397E10D" w14:textId="77777777" w:rsidR="001D153A" w:rsidRPr="00F34EB6" w:rsidRDefault="001D153A" w:rsidP="00483F0B">
      <w:pPr>
        <w:spacing w:line="360" w:lineRule="auto"/>
        <w:jc w:val="both"/>
        <w:rPr>
          <w:rFonts w:ascii="Arial" w:hAnsi="Arial" w:cs="Arial"/>
        </w:rPr>
      </w:pPr>
    </w:p>
    <w:p w14:paraId="2F3738CC" w14:textId="4299E8FD" w:rsidR="00483F0B" w:rsidRPr="00F34EB6" w:rsidRDefault="00D2276C" w:rsidP="00D470CC">
      <w:pPr>
        <w:pStyle w:val="Prrafodelista"/>
        <w:numPr>
          <w:ilvl w:val="0"/>
          <w:numId w:val="11"/>
        </w:numPr>
        <w:spacing w:line="360" w:lineRule="auto"/>
        <w:jc w:val="both"/>
        <w:outlineLvl w:val="2"/>
        <w:rPr>
          <w:rFonts w:ascii="Arial" w:hAnsi="Arial" w:cs="Arial"/>
          <w:b/>
          <w:bCs/>
        </w:rPr>
      </w:pPr>
      <w:bookmarkStart w:id="2" w:name="_Toc206540846"/>
      <w:r w:rsidRPr="00F34EB6">
        <w:rPr>
          <w:rFonts w:ascii="Arial" w:hAnsi="Arial" w:cs="Arial"/>
          <w:b/>
          <w:bCs/>
        </w:rPr>
        <w:lastRenderedPageBreak/>
        <w:t>Alcance</w:t>
      </w:r>
      <w:bookmarkEnd w:id="2"/>
      <w:r w:rsidRPr="00F34EB6">
        <w:rPr>
          <w:rFonts w:ascii="Arial" w:hAnsi="Arial" w:cs="Arial"/>
          <w:b/>
          <w:bCs/>
        </w:rPr>
        <w:t xml:space="preserve"> </w:t>
      </w:r>
    </w:p>
    <w:p w14:paraId="470E0BDB" w14:textId="73B501A0" w:rsidR="00483F0B" w:rsidRPr="00F34EB6" w:rsidRDefault="001D153A" w:rsidP="001D153A">
      <w:pPr>
        <w:spacing w:line="360" w:lineRule="auto"/>
        <w:jc w:val="both"/>
        <w:rPr>
          <w:rFonts w:ascii="Arial" w:hAnsi="Arial" w:cs="Arial"/>
        </w:rPr>
      </w:pPr>
      <w:r w:rsidRPr="00F34EB6">
        <w:rPr>
          <w:rFonts w:ascii="Arial" w:hAnsi="Arial" w:cs="Arial"/>
        </w:rPr>
        <w:t xml:space="preserve">El informe comprende el análisis del </w:t>
      </w:r>
      <w:r w:rsidR="00EA7CD8">
        <w:rPr>
          <w:rFonts w:ascii="Arial" w:hAnsi="Arial" w:cs="Arial"/>
        </w:rPr>
        <w:t>cuarto</w:t>
      </w:r>
      <w:r w:rsidRPr="00F34EB6">
        <w:rPr>
          <w:rFonts w:ascii="Arial" w:hAnsi="Arial" w:cs="Arial"/>
        </w:rPr>
        <w:t xml:space="preserve"> trimestre de 202</w:t>
      </w:r>
      <w:r w:rsidR="00EA7CD8">
        <w:rPr>
          <w:rFonts w:ascii="Arial" w:hAnsi="Arial" w:cs="Arial"/>
        </w:rPr>
        <w:t>4</w:t>
      </w:r>
      <w:r w:rsidRPr="00F34EB6">
        <w:rPr>
          <w:rFonts w:ascii="Arial" w:hAnsi="Arial" w:cs="Arial"/>
        </w:rPr>
        <w:t>, elaborado con la información reportada por las áreas financiera y administrativa de la RAP-E Eje Cafetero. Se centra en la verificación del cumplimiento de las disposiciones de austeridad y eficiencia del gasto público, mediante la revisión de los principales rubros presupuestales ejecutados y su comparación con periodos anteriores, con el fin de identificar el grado de cumplimiento, avances y oportunidades de mejora en la gestión institucional.</w:t>
      </w:r>
    </w:p>
    <w:p w14:paraId="772AA283" w14:textId="416DF22C" w:rsidR="00834B84" w:rsidRPr="00F34EB6" w:rsidRDefault="00D2276C" w:rsidP="00D470CC">
      <w:pPr>
        <w:pStyle w:val="Prrafodelista"/>
        <w:numPr>
          <w:ilvl w:val="0"/>
          <w:numId w:val="11"/>
        </w:numPr>
        <w:spacing w:line="360" w:lineRule="auto"/>
        <w:jc w:val="both"/>
        <w:outlineLvl w:val="0"/>
        <w:rPr>
          <w:rFonts w:ascii="Arial" w:hAnsi="Arial" w:cs="Arial"/>
          <w:b/>
          <w:bCs/>
        </w:rPr>
      </w:pPr>
      <w:bookmarkStart w:id="3" w:name="_Toc206540847"/>
      <w:r w:rsidRPr="00F34EB6">
        <w:rPr>
          <w:rFonts w:ascii="Arial" w:hAnsi="Arial" w:cs="Arial"/>
          <w:b/>
          <w:bCs/>
        </w:rPr>
        <w:t>Marco Legal</w:t>
      </w:r>
      <w:bookmarkEnd w:id="3"/>
      <w:r w:rsidRPr="00F34EB6">
        <w:rPr>
          <w:rFonts w:ascii="Arial" w:hAnsi="Arial" w:cs="Arial"/>
          <w:b/>
          <w:bCs/>
        </w:rPr>
        <w:t xml:space="preserve"> </w:t>
      </w:r>
    </w:p>
    <w:p w14:paraId="5E6DABF8" w14:textId="77777777" w:rsidR="001F1128" w:rsidRPr="00F34EB6" w:rsidRDefault="001F1128" w:rsidP="001F1128">
      <w:pPr>
        <w:pStyle w:val="Prrafodelista"/>
        <w:spacing w:line="360" w:lineRule="auto"/>
        <w:jc w:val="both"/>
        <w:rPr>
          <w:rFonts w:ascii="Arial" w:hAnsi="Arial" w:cs="Arial"/>
          <w:b/>
          <w:bCs/>
          <w:sz w:val="14"/>
          <w:szCs w:val="14"/>
        </w:rPr>
      </w:pPr>
    </w:p>
    <w:p w14:paraId="2C1EC562"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26 de 1998. “Por el cual se dictan normas de austeridad en el gasto público”. </w:t>
      </w:r>
    </w:p>
    <w:p w14:paraId="33871AAB"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1737 de 1998. “Por el cual se expiden medidas de austeridad y eficiencia y se someten a condiciones especiales la asunción de compromisos por parte de las entidades públicas que manejan recursos del Tesoro Público.” </w:t>
      </w:r>
    </w:p>
    <w:p w14:paraId="6116D255"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Decreto 0984 del 14 de mayo de 2012. “Modificación artículo 22 del Decreto 1737 de 1998.</w:t>
      </w:r>
    </w:p>
    <w:p w14:paraId="438FFA45"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1738 de 1998. “Por el cual se dictan medidas para la debida recaudación y administración de las rentas y caudales públicos tendientes a reducir el gasto público.” </w:t>
      </w:r>
    </w:p>
    <w:p w14:paraId="0580F86B"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2209 de 1998. “Por el cual se modifican parcialmente los Decreto 1737 y 1738 del 21 de agosto de 1998” </w:t>
      </w:r>
    </w:p>
    <w:p w14:paraId="3FC6E20F"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2445 de 2000 “Por el cual se modifican los artículos 8, 12, 15 y 17 del Decreto 1737 de 1998” </w:t>
      </w:r>
    </w:p>
    <w:p w14:paraId="4BDB3456"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2465 de 2000 “Por el cual se modifica el artículo 8º del Decreto 1737 de 1998" </w:t>
      </w:r>
    </w:p>
    <w:p w14:paraId="3373ADBF"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1598 de 2011 “Por el cual se modifica el artículo 15 del Decreto 1737 de 1998” </w:t>
      </w:r>
    </w:p>
    <w:p w14:paraId="77DD3E71" w14:textId="77777777"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Ley 1474 de julio de 2011, “Por la cual se dictan normas orientadas a fortalecer los mecanismos de prevención, investigación y sanción de actos de corrupción y la efectividad del control de la gestión pública.”</w:t>
      </w:r>
    </w:p>
    <w:p w14:paraId="7DB16EE1" w14:textId="6F95216F" w:rsidR="001F1128" w:rsidRPr="00F34EB6" w:rsidRDefault="001F1128" w:rsidP="001F1128">
      <w:pPr>
        <w:pStyle w:val="Prrafodelista"/>
        <w:numPr>
          <w:ilvl w:val="0"/>
          <w:numId w:val="16"/>
        </w:numPr>
        <w:spacing w:line="360" w:lineRule="auto"/>
        <w:ind w:left="284"/>
        <w:jc w:val="both"/>
        <w:rPr>
          <w:rFonts w:ascii="Arial" w:hAnsi="Arial" w:cs="Arial"/>
        </w:rPr>
      </w:pPr>
      <w:r w:rsidRPr="00F34EB6">
        <w:rPr>
          <w:rFonts w:ascii="Arial" w:hAnsi="Arial" w:cs="Arial"/>
        </w:rPr>
        <w:t xml:space="preserve">Decreto 1068 de 2015 (mayo 26) Por medio del cual se expide el Decreto Único Reglamentario del Sector Hacienda y Crédito Público, en su Título 4-MEDIDAS DE AUSTERIDAD DEL GASTO PÚBLICO-CAPÍTULO 1 - Que los artículos 2.8.4.1.1 y 2.8.4.1.2, establece que se sujetan a esta regulación, los organismos, </w:t>
      </w:r>
      <w:r w:rsidRPr="00F34EB6">
        <w:rPr>
          <w:rFonts w:ascii="Arial" w:hAnsi="Arial" w:cs="Arial"/>
        </w:rPr>
        <w:lastRenderedPageBreak/>
        <w:t xml:space="preserve">entidades, entes públicos, y personas jurídicas que financien sus gastos con recursos del Tesoro Público. Las entidades territoriales adoptarán medidas equivalentes a las aquí dispuestas en sus organizaciones administrativas. </w:t>
      </w:r>
    </w:p>
    <w:p w14:paraId="1AF7BB6E" w14:textId="10A4B19F" w:rsidR="001F1128" w:rsidRPr="00F34EB6" w:rsidRDefault="001F1128" w:rsidP="00D470CC">
      <w:pPr>
        <w:spacing w:after="0" w:line="240" w:lineRule="auto"/>
        <w:ind w:left="284"/>
        <w:jc w:val="both"/>
        <w:rPr>
          <w:rFonts w:ascii="Arial" w:hAnsi="Arial" w:cs="Arial"/>
          <w:sz w:val="8"/>
          <w:szCs w:val="8"/>
        </w:rPr>
      </w:pPr>
    </w:p>
    <w:p w14:paraId="2A0C452B" w14:textId="0247FF92" w:rsidR="00D470CC" w:rsidRPr="00F34EB6" w:rsidRDefault="00D470CC" w:rsidP="00D470CC">
      <w:pPr>
        <w:pStyle w:val="Prrafodelista"/>
        <w:numPr>
          <w:ilvl w:val="0"/>
          <w:numId w:val="11"/>
        </w:numPr>
        <w:spacing w:line="360" w:lineRule="auto"/>
        <w:jc w:val="both"/>
        <w:outlineLvl w:val="0"/>
        <w:rPr>
          <w:rFonts w:ascii="Arial" w:hAnsi="Arial" w:cs="Arial"/>
          <w:b/>
          <w:bCs/>
        </w:rPr>
      </w:pPr>
      <w:bookmarkStart w:id="4" w:name="_Toc206540848"/>
      <w:r w:rsidRPr="00F34EB6">
        <w:rPr>
          <w:rFonts w:ascii="Arial" w:hAnsi="Arial" w:cs="Arial"/>
          <w:b/>
          <w:bCs/>
        </w:rPr>
        <w:t>Desarrollo del Seguimiento</w:t>
      </w:r>
      <w:bookmarkEnd w:id="4"/>
      <w:r w:rsidRPr="00F34EB6">
        <w:rPr>
          <w:rFonts w:ascii="Arial" w:hAnsi="Arial" w:cs="Arial"/>
          <w:b/>
          <w:bCs/>
        </w:rPr>
        <w:t xml:space="preserve"> </w:t>
      </w:r>
    </w:p>
    <w:p w14:paraId="11133CB2" w14:textId="15E2B3DB" w:rsidR="00D470CC" w:rsidRPr="00F34EB6" w:rsidRDefault="00D470CC" w:rsidP="00D470CC">
      <w:pPr>
        <w:spacing w:line="360" w:lineRule="auto"/>
        <w:jc w:val="both"/>
        <w:rPr>
          <w:rFonts w:ascii="Arial" w:hAnsi="Arial" w:cs="Arial"/>
        </w:rPr>
      </w:pPr>
      <w:r w:rsidRPr="00F34EB6">
        <w:rPr>
          <w:rFonts w:ascii="Arial" w:hAnsi="Arial" w:cs="Arial"/>
        </w:rPr>
        <w:t xml:space="preserve">Teniendo en cuenta la consolidación mensual de las obligaciones generadas en el </w:t>
      </w:r>
      <w:r w:rsidR="00EA7CD8">
        <w:rPr>
          <w:rFonts w:ascii="Arial" w:hAnsi="Arial" w:cs="Arial"/>
        </w:rPr>
        <w:t>cuarto</w:t>
      </w:r>
      <w:r w:rsidRPr="00F34EB6">
        <w:rPr>
          <w:rFonts w:ascii="Arial" w:hAnsi="Arial" w:cs="Arial"/>
        </w:rPr>
        <w:t xml:space="preserve"> trimestre de la vigencia 202</w:t>
      </w:r>
      <w:r w:rsidR="00EA7CD8">
        <w:rPr>
          <w:rFonts w:ascii="Arial" w:hAnsi="Arial" w:cs="Arial"/>
        </w:rPr>
        <w:t>4</w:t>
      </w:r>
      <w:r w:rsidRPr="00F34EB6">
        <w:rPr>
          <w:rFonts w:ascii="Arial" w:hAnsi="Arial" w:cs="Arial"/>
        </w:rPr>
        <w:t>, se presenta a continuación la evolución y variación de los rubros más representativos, en comparación con el comportamiento registrado durante el mismo periodo de la vigencia 202</w:t>
      </w:r>
      <w:r w:rsidR="00EA7CD8">
        <w:rPr>
          <w:rFonts w:ascii="Arial" w:hAnsi="Arial" w:cs="Arial"/>
        </w:rPr>
        <w:t>3</w:t>
      </w:r>
      <w:r w:rsidRPr="00F34EB6">
        <w:rPr>
          <w:rFonts w:ascii="Arial" w:hAnsi="Arial" w:cs="Arial"/>
        </w:rPr>
        <w:t>. El análisis refleja los cambios en la ejecución presupuestal de la RAP-E Eje Cafetero, permitiendo identificar las tendencias en los gastos sujetos a las disposiciones de austeridad y eficiencia del gasto público.</w:t>
      </w:r>
    </w:p>
    <w:p w14:paraId="7C1DADC1" w14:textId="7DE7DA3E" w:rsidR="00F34EB6" w:rsidRPr="00F34EB6" w:rsidRDefault="00F34EB6" w:rsidP="00F34EB6">
      <w:pPr>
        <w:pStyle w:val="Prrafodelista"/>
        <w:numPr>
          <w:ilvl w:val="1"/>
          <w:numId w:val="11"/>
        </w:numPr>
        <w:spacing w:after="0" w:line="276" w:lineRule="auto"/>
        <w:jc w:val="both"/>
        <w:outlineLvl w:val="1"/>
        <w:rPr>
          <w:rFonts w:ascii="Arial" w:hAnsi="Arial" w:cs="Arial"/>
          <w:b/>
          <w:bCs/>
          <w:color w:val="002060"/>
          <w:szCs w:val="20"/>
          <w:shd w:val="clear" w:color="auto" w:fill="FFFFFF"/>
        </w:rPr>
      </w:pPr>
      <w:bookmarkStart w:id="5" w:name="_Toc206540849"/>
      <w:r w:rsidRPr="00F34EB6">
        <w:rPr>
          <w:rFonts w:ascii="Arial" w:hAnsi="Arial" w:cs="Arial"/>
          <w:b/>
          <w:bCs/>
          <w:color w:val="002060"/>
          <w:szCs w:val="20"/>
          <w:shd w:val="clear" w:color="auto" w:fill="FFFFFF"/>
        </w:rPr>
        <w:t>Administración de Personal</w:t>
      </w:r>
      <w:bookmarkEnd w:id="5"/>
      <w:r w:rsidRPr="00F34EB6">
        <w:rPr>
          <w:rFonts w:ascii="Arial" w:hAnsi="Arial" w:cs="Arial"/>
          <w:b/>
          <w:bCs/>
          <w:color w:val="002060"/>
          <w:szCs w:val="20"/>
          <w:shd w:val="clear" w:color="auto" w:fill="FFFFFF"/>
        </w:rPr>
        <w:t xml:space="preserve"> </w:t>
      </w:r>
    </w:p>
    <w:p w14:paraId="1D1ECB81" w14:textId="3A31B8F1" w:rsidR="001F1128" w:rsidRPr="00F34EB6" w:rsidRDefault="001F1128" w:rsidP="00834B84">
      <w:pPr>
        <w:spacing w:line="360" w:lineRule="auto"/>
        <w:jc w:val="both"/>
        <w:rPr>
          <w:rFonts w:ascii="Arial" w:hAnsi="Arial" w:cs="Arial"/>
          <w:sz w:val="8"/>
          <w:szCs w:val="8"/>
        </w:rPr>
      </w:pPr>
    </w:p>
    <w:p w14:paraId="4E5D0FEB" w14:textId="505D751F" w:rsidR="00F34EB6" w:rsidRDefault="00F34EB6" w:rsidP="00834B84">
      <w:pPr>
        <w:spacing w:line="360" w:lineRule="auto"/>
        <w:jc w:val="both"/>
        <w:rPr>
          <w:rFonts w:ascii="Arial" w:hAnsi="Arial" w:cs="Arial"/>
          <w:b/>
          <w:bCs/>
        </w:rPr>
      </w:pPr>
      <w:r w:rsidRPr="00F34EB6">
        <w:rPr>
          <w:rFonts w:ascii="Arial" w:hAnsi="Arial" w:cs="Arial"/>
          <w:b/>
          <w:bCs/>
        </w:rPr>
        <w:t xml:space="preserve">Gastos de Personal: </w:t>
      </w:r>
    </w:p>
    <w:p w14:paraId="4A01FEDD" w14:textId="61E810FC" w:rsidR="00AE6F46" w:rsidRDefault="00C62B06" w:rsidP="00AE6F46">
      <w:pPr>
        <w:spacing w:line="360" w:lineRule="auto"/>
        <w:jc w:val="both"/>
        <w:rPr>
          <w:rFonts w:ascii="Arial" w:hAnsi="Arial" w:cs="Arial"/>
        </w:rPr>
      </w:pPr>
      <w:r w:rsidRPr="00C62B06">
        <w:rPr>
          <w:rFonts w:ascii="Arial" w:hAnsi="Arial" w:cs="Arial"/>
          <w:noProof/>
        </w:rPr>
        <w:drawing>
          <wp:anchor distT="0" distB="0" distL="114300" distR="114300" simplePos="0" relativeHeight="251663360" behindDoc="1" locked="0" layoutInCell="1" allowOverlap="1" wp14:anchorId="1A2F407D" wp14:editId="121DC745">
            <wp:simplePos x="0" y="0"/>
            <wp:positionH relativeFrom="column">
              <wp:posOffset>-32385</wp:posOffset>
            </wp:positionH>
            <wp:positionV relativeFrom="paragraph">
              <wp:posOffset>1007110</wp:posOffset>
            </wp:positionV>
            <wp:extent cx="5612130" cy="4162425"/>
            <wp:effectExtent l="0" t="0" r="7620" b="9525"/>
            <wp:wrapNone/>
            <wp:docPr id="239981568"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81568" name="Imagen 1" descr="Diagrama&#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5612130" cy="4162425"/>
                    </a:xfrm>
                    <a:prstGeom prst="rect">
                      <a:avLst/>
                    </a:prstGeom>
                  </pic:spPr>
                </pic:pic>
              </a:graphicData>
            </a:graphic>
            <wp14:sizeRelV relativeFrom="margin">
              <wp14:pctHeight>0</wp14:pctHeight>
            </wp14:sizeRelV>
          </wp:anchor>
        </w:drawing>
      </w:r>
      <w:r w:rsidR="00AE6F46" w:rsidRPr="00AE6F46">
        <w:rPr>
          <w:rFonts w:ascii="Arial" w:hAnsi="Arial" w:cs="Arial"/>
        </w:rPr>
        <w:t>La planta de personal de la RAP Eje Cafetero está integrada por ocho funcionarios, distribuidos en las áreas estratégicas, misionales, de apoyo y de evaluación de la entidad.</w:t>
      </w:r>
      <w:r w:rsidR="00EA7CD8">
        <w:rPr>
          <w:rFonts w:ascii="Arial" w:hAnsi="Arial" w:cs="Arial"/>
        </w:rPr>
        <w:t xml:space="preserve"> Durante el periodo evaluado se evidencio una vacante en el cargo de la oficina de control interno. </w:t>
      </w:r>
    </w:p>
    <w:p w14:paraId="3AA19AED" w14:textId="5A3FF007" w:rsidR="00887B00" w:rsidRDefault="00887B00" w:rsidP="00AE6F46">
      <w:pPr>
        <w:spacing w:line="360" w:lineRule="auto"/>
        <w:jc w:val="both"/>
        <w:rPr>
          <w:rFonts w:ascii="Arial" w:hAnsi="Arial" w:cs="Arial"/>
        </w:rPr>
      </w:pPr>
    </w:p>
    <w:p w14:paraId="650DD3E9" w14:textId="77777777" w:rsidR="00887B00" w:rsidRDefault="00887B00" w:rsidP="00AE6F46">
      <w:pPr>
        <w:spacing w:line="360" w:lineRule="auto"/>
        <w:jc w:val="both"/>
        <w:rPr>
          <w:rFonts w:ascii="Arial" w:hAnsi="Arial" w:cs="Arial"/>
        </w:rPr>
      </w:pPr>
    </w:p>
    <w:p w14:paraId="11C50594" w14:textId="240682F0" w:rsidR="00887B00" w:rsidRDefault="00887B00" w:rsidP="00AE6F46">
      <w:pPr>
        <w:spacing w:line="360" w:lineRule="auto"/>
        <w:jc w:val="both"/>
        <w:rPr>
          <w:rFonts w:ascii="Arial" w:hAnsi="Arial" w:cs="Arial"/>
        </w:rPr>
      </w:pPr>
    </w:p>
    <w:p w14:paraId="45DA9998" w14:textId="77777777" w:rsidR="00887B00" w:rsidRDefault="00887B00" w:rsidP="00AE6F46">
      <w:pPr>
        <w:spacing w:line="360" w:lineRule="auto"/>
        <w:jc w:val="both"/>
        <w:rPr>
          <w:rFonts w:ascii="Arial" w:hAnsi="Arial" w:cs="Arial"/>
        </w:rPr>
      </w:pPr>
    </w:p>
    <w:p w14:paraId="24132866" w14:textId="77777777" w:rsidR="00887B00" w:rsidRDefault="00887B00" w:rsidP="00AE6F46">
      <w:pPr>
        <w:spacing w:line="360" w:lineRule="auto"/>
        <w:jc w:val="both"/>
        <w:rPr>
          <w:rFonts w:ascii="Arial" w:hAnsi="Arial" w:cs="Arial"/>
        </w:rPr>
      </w:pPr>
    </w:p>
    <w:p w14:paraId="6D9C0C2D" w14:textId="77777777" w:rsidR="00887B00" w:rsidRDefault="00887B00" w:rsidP="00AE6F46">
      <w:pPr>
        <w:spacing w:line="360" w:lineRule="auto"/>
        <w:jc w:val="both"/>
        <w:rPr>
          <w:rFonts w:ascii="Arial" w:hAnsi="Arial" w:cs="Arial"/>
        </w:rPr>
      </w:pPr>
    </w:p>
    <w:p w14:paraId="15D83C82" w14:textId="77777777" w:rsidR="00887B00" w:rsidRPr="00AE6F46" w:rsidRDefault="00887B00" w:rsidP="00AE6F46">
      <w:pPr>
        <w:spacing w:line="360" w:lineRule="auto"/>
        <w:jc w:val="both"/>
        <w:rPr>
          <w:rFonts w:ascii="Arial" w:hAnsi="Arial" w:cs="Arial"/>
        </w:rPr>
      </w:pPr>
    </w:p>
    <w:p w14:paraId="5AB26F97" w14:textId="77777777" w:rsidR="00887B00" w:rsidRDefault="00887B00" w:rsidP="005C480B">
      <w:pPr>
        <w:spacing w:line="360" w:lineRule="auto"/>
        <w:jc w:val="both"/>
        <w:rPr>
          <w:rFonts w:ascii="Arial" w:hAnsi="Arial" w:cs="Arial"/>
        </w:rPr>
      </w:pPr>
    </w:p>
    <w:p w14:paraId="7E49F64C" w14:textId="77777777" w:rsidR="00887B00" w:rsidRDefault="00887B00" w:rsidP="005C480B">
      <w:pPr>
        <w:spacing w:line="360" w:lineRule="auto"/>
        <w:jc w:val="both"/>
        <w:rPr>
          <w:rFonts w:ascii="Arial" w:hAnsi="Arial" w:cs="Arial"/>
        </w:rPr>
      </w:pPr>
    </w:p>
    <w:p w14:paraId="5F27D1C6" w14:textId="77777777" w:rsidR="00887B00" w:rsidRDefault="00887B00" w:rsidP="005C480B">
      <w:pPr>
        <w:spacing w:line="360" w:lineRule="auto"/>
        <w:jc w:val="both"/>
        <w:rPr>
          <w:rFonts w:ascii="Arial" w:hAnsi="Arial" w:cs="Arial"/>
        </w:rPr>
      </w:pPr>
    </w:p>
    <w:p w14:paraId="54637BCE" w14:textId="77777777" w:rsidR="00887B00" w:rsidRDefault="00887B00" w:rsidP="005C480B">
      <w:pPr>
        <w:spacing w:line="360" w:lineRule="auto"/>
        <w:jc w:val="both"/>
        <w:rPr>
          <w:rFonts w:ascii="Arial" w:hAnsi="Arial" w:cs="Arial"/>
        </w:rPr>
      </w:pPr>
    </w:p>
    <w:p w14:paraId="37828755" w14:textId="2A3507CC" w:rsidR="00AE6F46" w:rsidRPr="00417329" w:rsidRDefault="00AE6F46" w:rsidP="00AE6F46">
      <w:pPr>
        <w:keepNext/>
        <w:keepLines/>
        <w:spacing w:line="360" w:lineRule="auto"/>
        <w:jc w:val="both"/>
        <w:outlineLvl w:val="2"/>
        <w:rPr>
          <w:rFonts w:ascii="Arial" w:hAnsi="Arial" w:cs="Arial"/>
          <w:noProof/>
          <w:szCs w:val="20"/>
          <w:lang w:eastAsia="es-CO"/>
        </w:rPr>
      </w:pPr>
      <w:bookmarkStart w:id="6" w:name="_Toc206540850"/>
      <w:r w:rsidRPr="00204F1D">
        <w:rPr>
          <w:rFonts w:ascii="Arial" w:hAnsi="Arial" w:cs="Arial"/>
        </w:rPr>
        <w:lastRenderedPageBreak/>
        <w:t>Estos funcionarios generan gastos de nómina y prestaciones dentro del rubro de funcionamiento, los cuales se describen a continuación.</w:t>
      </w:r>
      <w:bookmarkEnd w:id="6"/>
      <w:r>
        <w:rPr>
          <w:rFonts w:ascii="Arial" w:hAnsi="Arial" w:cs="Arial"/>
        </w:rPr>
        <w:t xml:space="preserve"> </w:t>
      </w:r>
    </w:p>
    <w:p w14:paraId="4709CC2F" w14:textId="475528CF" w:rsidR="00BB7154" w:rsidRPr="00BB7154" w:rsidRDefault="00BB7154" w:rsidP="00BB7154">
      <w:pPr>
        <w:pStyle w:val="Citadestacada"/>
        <w:widowControl w:val="0"/>
        <w:numPr>
          <w:ilvl w:val="2"/>
          <w:numId w:val="11"/>
        </w:numPr>
        <w:pBdr>
          <w:top w:val="none" w:sz="0" w:space="0" w:color="auto"/>
          <w:bottom w:val="single" w:sz="4" w:space="4" w:color="4F81BD"/>
        </w:pBdr>
        <w:suppressAutoHyphens/>
        <w:spacing w:before="200" w:after="280" w:line="276" w:lineRule="auto"/>
        <w:ind w:right="101"/>
        <w:jc w:val="right"/>
        <w:outlineLvl w:val="2"/>
        <w:rPr>
          <w:rFonts w:ascii="Arial" w:hAnsi="Arial" w:cs="Arial"/>
          <w:b/>
          <w:bCs/>
          <w:i w:val="0"/>
          <w:color w:val="002060"/>
        </w:rPr>
      </w:pPr>
      <w:bookmarkStart w:id="7" w:name="_Toc206540851"/>
      <w:r w:rsidRPr="00BB7154">
        <w:rPr>
          <w:rFonts w:ascii="Arial" w:hAnsi="Arial" w:cs="Arial"/>
          <w:b/>
          <w:bCs/>
          <w:i w:val="0"/>
          <w:color w:val="002060"/>
        </w:rPr>
        <w:t xml:space="preserve">Servicios Personales Asociados </w:t>
      </w:r>
      <w:r>
        <w:rPr>
          <w:rFonts w:ascii="Arial" w:hAnsi="Arial" w:cs="Arial"/>
          <w:b/>
          <w:bCs/>
          <w:i w:val="0"/>
          <w:color w:val="002060"/>
        </w:rPr>
        <w:t>a</w:t>
      </w:r>
      <w:r w:rsidRPr="00BB7154">
        <w:rPr>
          <w:rFonts w:ascii="Arial" w:hAnsi="Arial" w:cs="Arial"/>
          <w:b/>
          <w:bCs/>
          <w:i w:val="0"/>
          <w:color w:val="002060"/>
        </w:rPr>
        <w:t xml:space="preserve"> </w:t>
      </w:r>
      <w:r>
        <w:rPr>
          <w:rFonts w:ascii="Arial" w:hAnsi="Arial" w:cs="Arial"/>
          <w:b/>
          <w:bCs/>
          <w:i w:val="0"/>
          <w:color w:val="002060"/>
        </w:rPr>
        <w:t>l</w:t>
      </w:r>
      <w:r w:rsidRPr="00BB7154">
        <w:rPr>
          <w:rFonts w:ascii="Arial" w:hAnsi="Arial" w:cs="Arial"/>
          <w:b/>
          <w:bCs/>
          <w:i w:val="0"/>
          <w:color w:val="002060"/>
        </w:rPr>
        <w:t>a Nómina</w:t>
      </w:r>
      <w:bookmarkEnd w:id="7"/>
    </w:p>
    <w:tbl>
      <w:tblPr>
        <w:tblW w:w="10791" w:type="dxa"/>
        <w:jc w:val="center"/>
        <w:tblCellMar>
          <w:left w:w="70" w:type="dxa"/>
          <w:right w:w="70" w:type="dxa"/>
        </w:tblCellMar>
        <w:tblLook w:val="04A0" w:firstRow="1" w:lastRow="0" w:firstColumn="1" w:lastColumn="0" w:noHBand="0" w:noVBand="1"/>
      </w:tblPr>
      <w:tblGrid>
        <w:gridCol w:w="1550"/>
        <w:gridCol w:w="1559"/>
        <w:gridCol w:w="1360"/>
        <w:gridCol w:w="908"/>
        <w:gridCol w:w="1309"/>
        <w:gridCol w:w="1276"/>
        <w:gridCol w:w="1134"/>
        <w:gridCol w:w="1030"/>
        <w:gridCol w:w="754"/>
      </w:tblGrid>
      <w:tr w:rsidR="00EA7CD8" w:rsidRPr="00BB7154" w14:paraId="317A2492" w14:textId="77777777" w:rsidTr="00495553">
        <w:trPr>
          <w:trHeight w:val="555"/>
          <w:jc w:val="center"/>
        </w:trPr>
        <w:tc>
          <w:tcPr>
            <w:tcW w:w="1550"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25D793F3" w14:textId="77777777"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sidRPr="00BB7154">
              <w:rPr>
                <w:rFonts w:ascii="Arial" w:eastAsia="Times New Roman" w:hAnsi="Arial" w:cs="Arial"/>
                <w:b/>
                <w:bCs/>
                <w:color w:val="000000"/>
                <w:kern w:val="0"/>
                <w:sz w:val="16"/>
                <w:szCs w:val="16"/>
                <w:lang w:eastAsia="es-CO"/>
                <w14:ligatures w14:val="none"/>
              </w:rPr>
              <w:t>Concepto</w:t>
            </w:r>
          </w:p>
        </w:tc>
        <w:tc>
          <w:tcPr>
            <w:tcW w:w="1559" w:type="dxa"/>
            <w:tcBorders>
              <w:top w:val="single" w:sz="8" w:space="0" w:color="auto"/>
              <w:left w:val="nil"/>
              <w:bottom w:val="single" w:sz="4" w:space="0" w:color="auto"/>
              <w:right w:val="single" w:sz="4" w:space="0" w:color="auto"/>
            </w:tcBorders>
            <w:shd w:val="clear" w:color="000000" w:fill="BDD6EE"/>
            <w:vAlign w:val="center"/>
            <w:hideMark/>
          </w:tcPr>
          <w:p w14:paraId="5A5391B7" w14:textId="41CC4556"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360"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5309FB69" w14:textId="3746BEC3"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908" w:type="dxa"/>
            <w:vMerge w:val="restart"/>
            <w:tcBorders>
              <w:top w:val="single" w:sz="8" w:space="0" w:color="auto"/>
              <w:left w:val="single" w:sz="4" w:space="0" w:color="auto"/>
              <w:bottom w:val="single" w:sz="4" w:space="0" w:color="auto"/>
              <w:right w:val="nil"/>
            </w:tcBorders>
            <w:shd w:val="clear" w:color="000000" w:fill="BDD6EE"/>
            <w:vAlign w:val="center"/>
            <w:hideMark/>
          </w:tcPr>
          <w:p w14:paraId="40FED47E" w14:textId="17FE5EA4"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309"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0B2ACE74" w14:textId="4466E214"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76"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043EE21B" w14:textId="0F515F83"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1134" w:type="dxa"/>
            <w:vMerge w:val="restart"/>
            <w:tcBorders>
              <w:top w:val="single" w:sz="8" w:space="0" w:color="auto"/>
              <w:left w:val="nil"/>
              <w:bottom w:val="single" w:sz="4" w:space="0" w:color="auto"/>
              <w:right w:val="single" w:sz="4" w:space="0" w:color="auto"/>
            </w:tcBorders>
            <w:shd w:val="clear" w:color="000000" w:fill="FFF2CC"/>
            <w:vAlign w:val="center"/>
            <w:hideMark/>
          </w:tcPr>
          <w:p w14:paraId="7B74CE7E" w14:textId="3FF998C0"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941"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4B22A9D0" w14:textId="0E01398F"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754"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0BD97C17" w14:textId="745446B0"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EA7CD8" w:rsidRPr="00BB7154" w14:paraId="5F1B206A" w14:textId="77777777" w:rsidTr="00495553">
        <w:trPr>
          <w:trHeight w:val="288"/>
          <w:jc w:val="center"/>
        </w:trPr>
        <w:tc>
          <w:tcPr>
            <w:tcW w:w="1550" w:type="dxa"/>
            <w:vMerge/>
            <w:tcBorders>
              <w:top w:val="single" w:sz="8" w:space="0" w:color="auto"/>
              <w:left w:val="single" w:sz="8" w:space="0" w:color="auto"/>
              <w:bottom w:val="single" w:sz="4" w:space="0" w:color="auto"/>
              <w:right w:val="single" w:sz="4" w:space="0" w:color="auto"/>
            </w:tcBorders>
            <w:vAlign w:val="center"/>
            <w:hideMark/>
          </w:tcPr>
          <w:p w14:paraId="35D9C0F1"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1559" w:type="dxa"/>
            <w:tcBorders>
              <w:top w:val="nil"/>
              <w:left w:val="nil"/>
              <w:bottom w:val="nil"/>
              <w:right w:val="single" w:sz="4" w:space="0" w:color="auto"/>
            </w:tcBorders>
            <w:shd w:val="clear" w:color="000000" w:fill="BDD6EE"/>
            <w:vAlign w:val="center"/>
            <w:hideMark/>
          </w:tcPr>
          <w:p w14:paraId="7DCBB776" w14:textId="197321A7"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360" w:type="dxa"/>
            <w:vMerge/>
            <w:tcBorders>
              <w:top w:val="single" w:sz="8" w:space="0" w:color="auto"/>
              <w:left w:val="single" w:sz="4" w:space="0" w:color="auto"/>
              <w:bottom w:val="single" w:sz="4" w:space="0" w:color="auto"/>
              <w:right w:val="single" w:sz="4" w:space="0" w:color="auto"/>
            </w:tcBorders>
            <w:vAlign w:val="center"/>
            <w:hideMark/>
          </w:tcPr>
          <w:p w14:paraId="0B4A28E0"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908" w:type="dxa"/>
            <w:vMerge/>
            <w:tcBorders>
              <w:top w:val="single" w:sz="8" w:space="0" w:color="auto"/>
              <w:left w:val="single" w:sz="4" w:space="0" w:color="auto"/>
              <w:bottom w:val="single" w:sz="4" w:space="0" w:color="auto"/>
              <w:right w:val="nil"/>
            </w:tcBorders>
            <w:vAlign w:val="center"/>
            <w:hideMark/>
          </w:tcPr>
          <w:p w14:paraId="370EC85B"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1309" w:type="dxa"/>
            <w:tcBorders>
              <w:top w:val="nil"/>
              <w:left w:val="single" w:sz="4" w:space="0" w:color="auto"/>
              <w:bottom w:val="nil"/>
              <w:right w:val="single" w:sz="4" w:space="0" w:color="auto"/>
            </w:tcBorders>
            <w:shd w:val="clear" w:color="000000" w:fill="FFF2CC"/>
            <w:vAlign w:val="center"/>
            <w:hideMark/>
          </w:tcPr>
          <w:p w14:paraId="4D2920A0" w14:textId="2B2D77BA" w:rsidR="00EA7CD8" w:rsidRPr="00BB7154" w:rsidRDefault="00EA7CD8" w:rsidP="00EA7CD8">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76" w:type="dxa"/>
            <w:vMerge/>
            <w:tcBorders>
              <w:top w:val="single" w:sz="8" w:space="0" w:color="auto"/>
              <w:left w:val="single" w:sz="4" w:space="0" w:color="auto"/>
              <w:bottom w:val="single" w:sz="4" w:space="0" w:color="auto"/>
              <w:right w:val="single" w:sz="4" w:space="0" w:color="auto"/>
            </w:tcBorders>
            <w:vAlign w:val="center"/>
            <w:hideMark/>
          </w:tcPr>
          <w:p w14:paraId="3DD58499"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1134" w:type="dxa"/>
            <w:vMerge/>
            <w:tcBorders>
              <w:top w:val="single" w:sz="8" w:space="0" w:color="auto"/>
              <w:left w:val="nil"/>
              <w:bottom w:val="single" w:sz="4" w:space="0" w:color="auto"/>
              <w:right w:val="single" w:sz="4" w:space="0" w:color="auto"/>
            </w:tcBorders>
            <w:vAlign w:val="center"/>
            <w:hideMark/>
          </w:tcPr>
          <w:p w14:paraId="434CBFB1"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941" w:type="dxa"/>
            <w:vMerge/>
            <w:tcBorders>
              <w:top w:val="single" w:sz="8" w:space="0" w:color="auto"/>
              <w:left w:val="single" w:sz="4" w:space="0" w:color="auto"/>
              <w:bottom w:val="single" w:sz="4" w:space="0" w:color="auto"/>
              <w:right w:val="single" w:sz="4" w:space="0" w:color="auto"/>
            </w:tcBorders>
            <w:vAlign w:val="center"/>
            <w:hideMark/>
          </w:tcPr>
          <w:p w14:paraId="7262C888"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c>
          <w:tcPr>
            <w:tcW w:w="754" w:type="dxa"/>
            <w:vMerge/>
            <w:tcBorders>
              <w:top w:val="single" w:sz="8" w:space="0" w:color="auto"/>
              <w:left w:val="single" w:sz="4" w:space="0" w:color="auto"/>
              <w:bottom w:val="single" w:sz="4" w:space="0" w:color="auto"/>
              <w:right w:val="single" w:sz="8" w:space="0" w:color="auto"/>
            </w:tcBorders>
            <w:vAlign w:val="center"/>
            <w:hideMark/>
          </w:tcPr>
          <w:p w14:paraId="52B40470" w14:textId="77777777" w:rsidR="00EA7CD8" w:rsidRPr="00BB7154" w:rsidRDefault="00EA7CD8" w:rsidP="00EA7CD8">
            <w:pPr>
              <w:spacing w:after="0" w:line="240" w:lineRule="auto"/>
              <w:rPr>
                <w:rFonts w:ascii="Arial" w:eastAsia="Times New Roman" w:hAnsi="Arial" w:cs="Arial"/>
                <w:b/>
                <w:bCs/>
                <w:color w:val="000000"/>
                <w:kern w:val="0"/>
                <w:sz w:val="16"/>
                <w:szCs w:val="16"/>
                <w:lang w:eastAsia="es-CO"/>
                <w14:ligatures w14:val="none"/>
              </w:rPr>
            </w:pPr>
          </w:p>
        </w:tc>
      </w:tr>
      <w:tr w:rsidR="00EA7CD8" w:rsidRPr="00BB7154" w14:paraId="7529D4EC" w14:textId="77777777" w:rsidTr="00495553">
        <w:trPr>
          <w:trHeight w:val="270"/>
          <w:jc w:val="center"/>
        </w:trPr>
        <w:tc>
          <w:tcPr>
            <w:tcW w:w="1550" w:type="dxa"/>
            <w:tcBorders>
              <w:top w:val="nil"/>
              <w:left w:val="single" w:sz="8" w:space="0" w:color="auto"/>
              <w:bottom w:val="single" w:sz="8" w:space="0" w:color="auto"/>
              <w:right w:val="nil"/>
            </w:tcBorders>
            <w:vAlign w:val="center"/>
            <w:hideMark/>
          </w:tcPr>
          <w:p w14:paraId="2EB779A5" w14:textId="77777777" w:rsidR="00EA7CD8" w:rsidRPr="00BB7154" w:rsidRDefault="00EA7CD8" w:rsidP="00EA7CD8">
            <w:pPr>
              <w:spacing w:after="0" w:line="240" w:lineRule="auto"/>
              <w:jc w:val="both"/>
              <w:rPr>
                <w:rFonts w:ascii="Arial" w:eastAsia="Times New Roman" w:hAnsi="Arial" w:cs="Arial"/>
                <w:color w:val="000000"/>
                <w:kern w:val="0"/>
                <w:sz w:val="16"/>
                <w:szCs w:val="16"/>
                <w:lang w:eastAsia="es-CO"/>
                <w14:ligatures w14:val="none"/>
              </w:rPr>
            </w:pPr>
            <w:r w:rsidRPr="00BB7154">
              <w:rPr>
                <w:rFonts w:ascii="Arial" w:eastAsia="Times New Roman" w:hAnsi="Arial" w:cs="Arial"/>
                <w:color w:val="000000"/>
                <w:kern w:val="0"/>
                <w:sz w:val="16"/>
                <w:szCs w:val="16"/>
                <w:lang w:eastAsia="es-CO"/>
                <w14:ligatures w14:val="none"/>
              </w:rPr>
              <w:t xml:space="preserve">Gasto de Personal </w:t>
            </w:r>
          </w:p>
        </w:tc>
        <w:tc>
          <w:tcPr>
            <w:tcW w:w="1559" w:type="dxa"/>
            <w:tcBorders>
              <w:top w:val="single" w:sz="4" w:space="0" w:color="auto"/>
              <w:left w:val="single" w:sz="4" w:space="0" w:color="auto"/>
              <w:bottom w:val="single" w:sz="8" w:space="0" w:color="auto"/>
              <w:right w:val="single" w:sz="4" w:space="0" w:color="auto"/>
            </w:tcBorders>
            <w:noWrap/>
            <w:vAlign w:val="center"/>
            <w:hideMark/>
          </w:tcPr>
          <w:p w14:paraId="4FC28170" w14:textId="430287CD"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2.152.972.512</w:t>
            </w:r>
          </w:p>
        </w:tc>
        <w:tc>
          <w:tcPr>
            <w:tcW w:w="1360" w:type="dxa"/>
            <w:tcBorders>
              <w:top w:val="single" w:sz="4" w:space="0" w:color="auto"/>
              <w:left w:val="nil"/>
              <w:bottom w:val="single" w:sz="8" w:space="0" w:color="auto"/>
              <w:right w:val="single" w:sz="4" w:space="0" w:color="auto"/>
            </w:tcBorders>
            <w:noWrap/>
            <w:vAlign w:val="center"/>
            <w:hideMark/>
          </w:tcPr>
          <w:p w14:paraId="73EC7F00" w14:textId="26AFC72F"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1.793.209.684</w:t>
            </w:r>
          </w:p>
        </w:tc>
        <w:tc>
          <w:tcPr>
            <w:tcW w:w="908" w:type="dxa"/>
            <w:tcBorders>
              <w:top w:val="single" w:sz="4" w:space="0" w:color="auto"/>
              <w:left w:val="nil"/>
              <w:bottom w:val="single" w:sz="8" w:space="0" w:color="auto"/>
              <w:right w:val="single" w:sz="4" w:space="0" w:color="auto"/>
            </w:tcBorders>
            <w:noWrap/>
            <w:vAlign w:val="center"/>
            <w:hideMark/>
          </w:tcPr>
          <w:p w14:paraId="52D1109F" w14:textId="7FCEE81D"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83%</w:t>
            </w:r>
          </w:p>
        </w:tc>
        <w:tc>
          <w:tcPr>
            <w:tcW w:w="1309" w:type="dxa"/>
            <w:tcBorders>
              <w:top w:val="single" w:sz="4" w:space="0" w:color="auto"/>
              <w:left w:val="nil"/>
              <w:bottom w:val="single" w:sz="8" w:space="0" w:color="auto"/>
              <w:right w:val="single" w:sz="4" w:space="0" w:color="auto"/>
            </w:tcBorders>
            <w:noWrap/>
            <w:vAlign w:val="center"/>
            <w:hideMark/>
          </w:tcPr>
          <w:p w14:paraId="397773B6" w14:textId="3595CC2B"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1.844.992.542</w:t>
            </w:r>
          </w:p>
        </w:tc>
        <w:tc>
          <w:tcPr>
            <w:tcW w:w="1276" w:type="dxa"/>
            <w:tcBorders>
              <w:top w:val="single" w:sz="4" w:space="0" w:color="auto"/>
              <w:left w:val="nil"/>
              <w:bottom w:val="single" w:sz="8" w:space="0" w:color="auto"/>
              <w:right w:val="single" w:sz="4" w:space="0" w:color="auto"/>
            </w:tcBorders>
            <w:noWrap/>
            <w:vAlign w:val="center"/>
            <w:hideMark/>
          </w:tcPr>
          <w:p w14:paraId="369EDFB0" w14:textId="2A45A505"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1.639.927.019</w:t>
            </w:r>
          </w:p>
        </w:tc>
        <w:tc>
          <w:tcPr>
            <w:tcW w:w="1134" w:type="dxa"/>
            <w:tcBorders>
              <w:top w:val="single" w:sz="4" w:space="0" w:color="auto"/>
              <w:left w:val="nil"/>
              <w:bottom w:val="single" w:sz="8" w:space="0" w:color="auto"/>
              <w:right w:val="single" w:sz="4" w:space="0" w:color="auto"/>
            </w:tcBorders>
            <w:noWrap/>
            <w:vAlign w:val="center"/>
            <w:hideMark/>
          </w:tcPr>
          <w:p w14:paraId="07F84339" w14:textId="2569B8F6"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88,89%</w:t>
            </w:r>
          </w:p>
        </w:tc>
        <w:tc>
          <w:tcPr>
            <w:tcW w:w="941" w:type="dxa"/>
            <w:tcBorders>
              <w:top w:val="single" w:sz="4" w:space="0" w:color="auto"/>
              <w:left w:val="nil"/>
              <w:bottom w:val="single" w:sz="8" w:space="0" w:color="auto"/>
              <w:right w:val="single" w:sz="4" w:space="0" w:color="auto"/>
            </w:tcBorders>
            <w:noWrap/>
            <w:vAlign w:val="center"/>
            <w:hideMark/>
          </w:tcPr>
          <w:p w14:paraId="5A37A4D7" w14:textId="1086E8AE"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153.282.665</w:t>
            </w:r>
          </w:p>
        </w:tc>
        <w:tc>
          <w:tcPr>
            <w:tcW w:w="754" w:type="dxa"/>
            <w:tcBorders>
              <w:top w:val="single" w:sz="4" w:space="0" w:color="auto"/>
              <w:left w:val="nil"/>
              <w:bottom w:val="single" w:sz="8" w:space="0" w:color="auto"/>
              <w:right w:val="single" w:sz="8" w:space="0" w:color="auto"/>
            </w:tcBorders>
            <w:noWrap/>
            <w:vAlign w:val="center"/>
            <w:hideMark/>
          </w:tcPr>
          <w:p w14:paraId="23BBC2B8" w14:textId="6814023B" w:rsidR="00EA7CD8" w:rsidRPr="00BB7154" w:rsidRDefault="00EA7CD8" w:rsidP="00EA7CD8">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w:t>
            </w:r>
          </w:p>
        </w:tc>
      </w:tr>
    </w:tbl>
    <w:p w14:paraId="2C9E4956" w14:textId="77777777" w:rsidR="00AE6F46" w:rsidRPr="00495553" w:rsidRDefault="00AE6F46" w:rsidP="002D5914">
      <w:pPr>
        <w:spacing w:line="360" w:lineRule="auto"/>
        <w:ind w:left="207"/>
        <w:jc w:val="both"/>
        <w:rPr>
          <w:rFonts w:ascii="Arial" w:hAnsi="Arial" w:cs="Arial"/>
          <w:sz w:val="14"/>
          <w:szCs w:val="14"/>
        </w:rPr>
      </w:pPr>
    </w:p>
    <w:p w14:paraId="0086047B" w14:textId="4AA492B6" w:rsidR="00752965" w:rsidRPr="00752965" w:rsidRDefault="00752965" w:rsidP="00213B2F">
      <w:pPr>
        <w:spacing w:line="360" w:lineRule="auto"/>
        <w:jc w:val="both"/>
        <w:rPr>
          <w:rFonts w:ascii="Arial" w:hAnsi="Arial" w:cs="Arial"/>
        </w:rPr>
      </w:pPr>
      <w:r w:rsidRPr="00213B2F">
        <w:rPr>
          <w:rFonts w:ascii="Arial" w:hAnsi="Arial" w:cs="Arial"/>
        </w:rPr>
        <w:t>En el rubro general de gasto de personal se</w:t>
      </w:r>
      <w:r w:rsidRPr="00752965">
        <w:rPr>
          <w:rFonts w:ascii="Arial" w:hAnsi="Arial" w:cs="Arial"/>
        </w:rPr>
        <w:t xml:space="preserve"> evidencia </w:t>
      </w:r>
      <w:r w:rsidRPr="00213B2F">
        <w:rPr>
          <w:rFonts w:ascii="Arial" w:hAnsi="Arial" w:cs="Arial"/>
        </w:rPr>
        <w:t>que</w:t>
      </w:r>
      <w:r w:rsidRPr="00752965">
        <w:rPr>
          <w:rFonts w:ascii="Arial" w:hAnsi="Arial" w:cs="Arial"/>
        </w:rPr>
        <w:t xml:space="preserve"> para la vigencia 2024</w:t>
      </w:r>
      <w:r w:rsidRPr="00213B2F">
        <w:rPr>
          <w:rFonts w:ascii="Arial" w:hAnsi="Arial" w:cs="Arial"/>
        </w:rPr>
        <w:t xml:space="preserve"> se </w:t>
      </w:r>
      <w:r w:rsidR="000F0628" w:rsidRPr="00213B2F">
        <w:rPr>
          <w:rFonts w:ascii="Arial" w:hAnsi="Arial" w:cs="Arial"/>
        </w:rPr>
        <w:t>tenía</w:t>
      </w:r>
      <w:r w:rsidRPr="00752965">
        <w:rPr>
          <w:rFonts w:ascii="Arial" w:hAnsi="Arial" w:cs="Arial"/>
        </w:rPr>
        <w:t xml:space="preserve"> un presupuesto definitivo de $2.152.972.512, de los cuales se ejecutaron obligaciones por $1.793.209.684, alcanzando un 83% de ejecución. Si bien el presupuesto aprobado para 2024 fue superior al del año anterior, la ejecución porcentual fue menor respecto al 2023, cuando se contó con un presupuesto definitivo de $1.844.992.542 y una ejecución de $1.639.927.019, equivalente al 88,89%. Esto indica que, aunque en términos absolutos se ejecutó una mayor suma en 2024, el nivel de cumplimiento frente al presupuesto aprobado disminuyó en comparación con el año anterior.</w:t>
      </w:r>
    </w:p>
    <w:p w14:paraId="375198EC" w14:textId="2527662C" w:rsidR="00495553" w:rsidRPr="00495553" w:rsidRDefault="00213B2F" w:rsidP="00495553">
      <w:pPr>
        <w:spacing w:line="360" w:lineRule="auto"/>
        <w:jc w:val="both"/>
        <w:rPr>
          <w:rFonts w:ascii="Arial" w:hAnsi="Arial" w:cs="Arial"/>
        </w:rPr>
      </w:pPr>
      <w:r w:rsidRPr="00213B2F">
        <w:rPr>
          <w:rFonts w:ascii="Arial" w:hAnsi="Arial" w:cs="Arial"/>
        </w:rPr>
        <w:t>La variación absoluta de $153.282.665 refleja un incremento del 9% en la asignación de recursos respecto a 2023, lo cual obedece a que durante la vigencia 2023 hubo meses en los que no se contaba con algunos funcionarios en la planta, generando una menor ejecución en ese periodo. De igual manera, este aumento se explica por el ajuste salarial que, de acuerdo con la normativa, se realiza de manera anual. No obstante, la reducción en el porcentaje de ejecución en 2024 frente al año anterior evidencia la necesidad de fortalecer los mecanismos de planeación y control del gasto, de modo que se garantice un adecuado equilibrio entre el crecimiento del presupuesto, las condiciones laborales del talento humano y la capacidad efectiva de ejecución, en concordancia con los lineamientos de austeridad y eficiencia en el uso de los recursos públicos.</w:t>
      </w:r>
    </w:p>
    <w:p w14:paraId="06F0B8C0" w14:textId="092CE0BE" w:rsidR="00495553" w:rsidRPr="00BB7154" w:rsidRDefault="00495553" w:rsidP="00495553">
      <w:pPr>
        <w:pStyle w:val="Citadestacada"/>
        <w:widowControl w:val="0"/>
        <w:numPr>
          <w:ilvl w:val="2"/>
          <w:numId w:val="11"/>
        </w:numPr>
        <w:pBdr>
          <w:top w:val="none" w:sz="0" w:space="0" w:color="auto"/>
          <w:bottom w:val="single" w:sz="4" w:space="4" w:color="4F81BD"/>
        </w:pBdr>
        <w:suppressAutoHyphens/>
        <w:spacing w:before="200" w:after="280" w:line="276" w:lineRule="auto"/>
        <w:ind w:right="101"/>
        <w:jc w:val="right"/>
        <w:outlineLvl w:val="2"/>
        <w:rPr>
          <w:rFonts w:ascii="Arial" w:hAnsi="Arial" w:cs="Arial"/>
          <w:b/>
          <w:bCs/>
          <w:i w:val="0"/>
          <w:color w:val="002060"/>
        </w:rPr>
      </w:pPr>
      <w:bookmarkStart w:id="8" w:name="_Toc206540852"/>
      <w:r>
        <w:rPr>
          <w:rFonts w:ascii="Arial" w:hAnsi="Arial" w:cs="Arial"/>
          <w:b/>
          <w:bCs/>
          <w:i w:val="0"/>
          <w:color w:val="002060"/>
        </w:rPr>
        <w:t>Factores Salariales Comunes</w:t>
      </w:r>
      <w:bookmarkEnd w:id="8"/>
      <w:r>
        <w:rPr>
          <w:rFonts w:ascii="Arial" w:hAnsi="Arial" w:cs="Arial"/>
          <w:b/>
          <w:bCs/>
          <w:i w:val="0"/>
          <w:color w:val="002060"/>
        </w:rPr>
        <w:t xml:space="preserve"> </w:t>
      </w:r>
    </w:p>
    <w:tbl>
      <w:tblPr>
        <w:tblW w:w="10905" w:type="dxa"/>
        <w:jc w:val="center"/>
        <w:tblCellMar>
          <w:left w:w="70" w:type="dxa"/>
          <w:right w:w="70" w:type="dxa"/>
        </w:tblCellMar>
        <w:tblLook w:val="04A0" w:firstRow="1" w:lastRow="0" w:firstColumn="1" w:lastColumn="0" w:noHBand="0" w:noVBand="1"/>
      </w:tblPr>
      <w:tblGrid>
        <w:gridCol w:w="1975"/>
        <w:gridCol w:w="1276"/>
        <w:gridCol w:w="1252"/>
        <w:gridCol w:w="896"/>
        <w:gridCol w:w="1254"/>
        <w:gridCol w:w="1275"/>
        <w:gridCol w:w="896"/>
        <w:gridCol w:w="1231"/>
        <w:gridCol w:w="850"/>
      </w:tblGrid>
      <w:tr w:rsidR="00213B2F" w:rsidRPr="00495553" w14:paraId="173CE21D" w14:textId="77777777" w:rsidTr="00495553">
        <w:trPr>
          <w:trHeight w:val="555"/>
          <w:jc w:val="center"/>
        </w:trPr>
        <w:tc>
          <w:tcPr>
            <w:tcW w:w="1975"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20F2C685" w14:textId="77777777"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sidRPr="00495553">
              <w:rPr>
                <w:rFonts w:ascii="Arial" w:eastAsia="Times New Roman" w:hAnsi="Arial" w:cs="Arial"/>
                <w:b/>
                <w:bCs/>
                <w:color w:val="000000"/>
                <w:kern w:val="0"/>
                <w:sz w:val="16"/>
                <w:szCs w:val="16"/>
                <w:lang w:eastAsia="es-CO"/>
                <w14:ligatures w14:val="none"/>
              </w:rPr>
              <w:t>Concepto</w:t>
            </w:r>
          </w:p>
        </w:tc>
        <w:tc>
          <w:tcPr>
            <w:tcW w:w="1276" w:type="dxa"/>
            <w:tcBorders>
              <w:top w:val="single" w:sz="8" w:space="0" w:color="auto"/>
              <w:left w:val="nil"/>
              <w:bottom w:val="single" w:sz="4" w:space="0" w:color="auto"/>
              <w:right w:val="single" w:sz="4" w:space="0" w:color="auto"/>
            </w:tcBorders>
            <w:shd w:val="clear" w:color="000000" w:fill="BDD6EE"/>
            <w:vAlign w:val="center"/>
            <w:hideMark/>
          </w:tcPr>
          <w:p w14:paraId="1CB69617" w14:textId="6C2E4BDA"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23A8A58E" w14:textId="520CDC8F"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896" w:type="dxa"/>
            <w:vMerge w:val="restart"/>
            <w:tcBorders>
              <w:top w:val="single" w:sz="8" w:space="0" w:color="auto"/>
              <w:left w:val="single" w:sz="4" w:space="0" w:color="auto"/>
              <w:bottom w:val="single" w:sz="4" w:space="0" w:color="auto"/>
              <w:right w:val="nil"/>
            </w:tcBorders>
            <w:shd w:val="clear" w:color="000000" w:fill="BDD6EE"/>
            <w:vAlign w:val="center"/>
            <w:hideMark/>
          </w:tcPr>
          <w:p w14:paraId="17E41114" w14:textId="1F8791B3"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254"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236FF399" w14:textId="5DAF8418"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75"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18E10B6D" w14:textId="0121E3ED"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0C801C15" w14:textId="689E7399"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1231"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29C2100C" w14:textId="38FBC17C"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850"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14EE5B9A" w14:textId="3B9C438D"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213B2F" w:rsidRPr="00495553" w14:paraId="0B89FE18" w14:textId="77777777" w:rsidTr="00495553">
        <w:trPr>
          <w:trHeight w:val="288"/>
          <w:jc w:val="center"/>
        </w:trPr>
        <w:tc>
          <w:tcPr>
            <w:tcW w:w="1975" w:type="dxa"/>
            <w:vMerge/>
            <w:tcBorders>
              <w:top w:val="single" w:sz="8" w:space="0" w:color="auto"/>
              <w:left w:val="single" w:sz="8" w:space="0" w:color="auto"/>
              <w:bottom w:val="single" w:sz="4" w:space="0" w:color="auto"/>
              <w:right w:val="single" w:sz="4" w:space="0" w:color="auto"/>
            </w:tcBorders>
            <w:vAlign w:val="center"/>
            <w:hideMark/>
          </w:tcPr>
          <w:p w14:paraId="15BB2ABC"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1276" w:type="dxa"/>
            <w:tcBorders>
              <w:top w:val="nil"/>
              <w:left w:val="nil"/>
              <w:bottom w:val="nil"/>
              <w:right w:val="single" w:sz="4" w:space="0" w:color="auto"/>
            </w:tcBorders>
            <w:shd w:val="clear" w:color="000000" w:fill="BDD6EE"/>
            <w:vAlign w:val="center"/>
            <w:hideMark/>
          </w:tcPr>
          <w:p w14:paraId="48632A9D" w14:textId="263EEA9D"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1F66AB58"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single" w:sz="4" w:space="0" w:color="auto"/>
              <w:bottom w:val="single" w:sz="4" w:space="0" w:color="auto"/>
              <w:right w:val="nil"/>
            </w:tcBorders>
            <w:vAlign w:val="center"/>
            <w:hideMark/>
          </w:tcPr>
          <w:p w14:paraId="40C80E6F"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1254" w:type="dxa"/>
            <w:tcBorders>
              <w:top w:val="nil"/>
              <w:left w:val="single" w:sz="4" w:space="0" w:color="auto"/>
              <w:bottom w:val="nil"/>
              <w:right w:val="single" w:sz="4" w:space="0" w:color="auto"/>
            </w:tcBorders>
            <w:shd w:val="clear" w:color="000000" w:fill="FFF2CC"/>
            <w:vAlign w:val="center"/>
            <w:hideMark/>
          </w:tcPr>
          <w:p w14:paraId="55DE8C65" w14:textId="68E7B56E"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75" w:type="dxa"/>
            <w:vMerge/>
            <w:tcBorders>
              <w:top w:val="single" w:sz="8" w:space="0" w:color="auto"/>
              <w:left w:val="single" w:sz="4" w:space="0" w:color="auto"/>
              <w:bottom w:val="single" w:sz="4" w:space="0" w:color="auto"/>
              <w:right w:val="single" w:sz="4" w:space="0" w:color="auto"/>
            </w:tcBorders>
            <w:vAlign w:val="center"/>
            <w:hideMark/>
          </w:tcPr>
          <w:p w14:paraId="55BCD0E3"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47A67845"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1231" w:type="dxa"/>
            <w:vMerge/>
            <w:tcBorders>
              <w:top w:val="single" w:sz="8" w:space="0" w:color="auto"/>
              <w:left w:val="single" w:sz="4" w:space="0" w:color="auto"/>
              <w:bottom w:val="single" w:sz="4" w:space="0" w:color="auto"/>
              <w:right w:val="single" w:sz="4" w:space="0" w:color="auto"/>
            </w:tcBorders>
            <w:vAlign w:val="center"/>
            <w:hideMark/>
          </w:tcPr>
          <w:p w14:paraId="5860C6CE"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c>
          <w:tcPr>
            <w:tcW w:w="850" w:type="dxa"/>
            <w:vMerge/>
            <w:tcBorders>
              <w:top w:val="single" w:sz="8" w:space="0" w:color="auto"/>
              <w:left w:val="single" w:sz="4" w:space="0" w:color="auto"/>
              <w:bottom w:val="single" w:sz="4" w:space="0" w:color="auto"/>
              <w:right w:val="single" w:sz="8" w:space="0" w:color="auto"/>
            </w:tcBorders>
            <w:vAlign w:val="center"/>
            <w:hideMark/>
          </w:tcPr>
          <w:p w14:paraId="13B7C194" w14:textId="77777777" w:rsidR="00213B2F" w:rsidRPr="00495553" w:rsidRDefault="00213B2F" w:rsidP="00213B2F">
            <w:pPr>
              <w:spacing w:after="0" w:line="240" w:lineRule="auto"/>
              <w:rPr>
                <w:rFonts w:ascii="Arial" w:eastAsia="Times New Roman" w:hAnsi="Arial" w:cs="Arial"/>
                <w:b/>
                <w:bCs/>
                <w:color w:val="000000"/>
                <w:kern w:val="0"/>
                <w:sz w:val="16"/>
                <w:szCs w:val="16"/>
                <w:lang w:eastAsia="es-CO"/>
                <w14:ligatures w14:val="none"/>
              </w:rPr>
            </w:pPr>
          </w:p>
        </w:tc>
      </w:tr>
      <w:tr w:rsidR="00213B2F" w:rsidRPr="00495553" w14:paraId="69878E08"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47E5A274" w14:textId="042E1FD9"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t xml:space="preserve">Sueldo básico </w:t>
            </w:r>
          </w:p>
        </w:tc>
        <w:tc>
          <w:tcPr>
            <w:tcW w:w="1276" w:type="dxa"/>
            <w:tcBorders>
              <w:top w:val="single" w:sz="4" w:space="0" w:color="auto"/>
              <w:left w:val="nil"/>
              <w:bottom w:val="single" w:sz="4" w:space="0" w:color="auto"/>
              <w:right w:val="single" w:sz="4" w:space="0" w:color="auto"/>
            </w:tcBorders>
            <w:noWrap/>
            <w:vAlign w:val="center"/>
            <w:hideMark/>
          </w:tcPr>
          <w:p w14:paraId="4F961DC6" w14:textId="4DBC9192"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1.285.675.673</w:t>
            </w:r>
          </w:p>
        </w:tc>
        <w:tc>
          <w:tcPr>
            <w:tcW w:w="1252" w:type="dxa"/>
            <w:tcBorders>
              <w:top w:val="single" w:sz="4" w:space="0" w:color="auto"/>
              <w:left w:val="nil"/>
              <w:bottom w:val="single" w:sz="4" w:space="0" w:color="auto"/>
              <w:right w:val="single" w:sz="4" w:space="0" w:color="auto"/>
            </w:tcBorders>
            <w:noWrap/>
            <w:vAlign w:val="center"/>
            <w:hideMark/>
          </w:tcPr>
          <w:p w14:paraId="4D010268" w14:textId="0B890B2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1.043.227.357</w:t>
            </w:r>
          </w:p>
        </w:tc>
        <w:tc>
          <w:tcPr>
            <w:tcW w:w="896" w:type="dxa"/>
            <w:tcBorders>
              <w:top w:val="single" w:sz="4" w:space="0" w:color="auto"/>
              <w:left w:val="nil"/>
              <w:bottom w:val="single" w:sz="4" w:space="0" w:color="auto"/>
              <w:right w:val="single" w:sz="4" w:space="0" w:color="auto"/>
            </w:tcBorders>
            <w:noWrap/>
            <w:vAlign w:val="center"/>
            <w:hideMark/>
          </w:tcPr>
          <w:p w14:paraId="3AC62294" w14:textId="441FE74F"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81,14%</w:t>
            </w:r>
          </w:p>
        </w:tc>
        <w:tc>
          <w:tcPr>
            <w:tcW w:w="1254" w:type="dxa"/>
            <w:tcBorders>
              <w:top w:val="single" w:sz="4" w:space="0" w:color="auto"/>
              <w:left w:val="nil"/>
              <w:bottom w:val="single" w:sz="4" w:space="0" w:color="auto"/>
              <w:right w:val="single" w:sz="4" w:space="0" w:color="auto"/>
            </w:tcBorders>
            <w:noWrap/>
            <w:vAlign w:val="center"/>
            <w:hideMark/>
          </w:tcPr>
          <w:p w14:paraId="5E295697" w14:textId="7F9A5CC5"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1.079.208.393</w:t>
            </w:r>
          </w:p>
        </w:tc>
        <w:tc>
          <w:tcPr>
            <w:tcW w:w="1275" w:type="dxa"/>
            <w:tcBorders>
              <w:top w:val="single" w:sz="4" w:space="0" w:color="auto"/>
              <w:left w:val="nil"/>
              <w:bottom w:val="single" w:sz="4" w:space="0" w:color="auto"/>
              <w:right w:val="single" w:sz="4" w:space="0" w:color="auto"/>
            </w:tcBorders>
            <w:noWrap/>
            <w:vAlign w:val="center"/>
            <w:hideMark/>
          </w:tcPr>
          <w:p w14:paraId="72EBBBFD" w14:textId="111D3F7A"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934.462.063</w:t>
            </w:r>
          </w:p>
        </w:tc>
        <w:tc>
          <w:tcPr>
            <w:tcW w:w="896" w:type="dxa"/>
            <w:tcBorders>
              <w:top w:val="single" w:sz="4" w:space="0" w:color="auto"/>
              <w:left w:val="nil"/>
              <w:bottom w:val="single" w:sz="4" w:space="0" w:color="auto"/>
              <w:right w:val="single" w:sz="4" w:space="0" w:color="auto"/>
            </w:tcBorders>
            <w:noWrap/>
            <w:vAlign w:val="center"/>
            <w:hideMark/>
          </w:tcPr>
          <w:p w14:paraId="5897D0A5" w14:textId="15987BC3"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87%</w:t>
            </w:r>
          </w:p>
        </w:tc>
        <w:tc>
          <w:tcPr>
            <w:tcW w:w="1231" w:type="dxa"/>
            <w:tcBorders>
              <w:top w:val="single" w:sz="4" w:space="0" w:color="auto"/>
              <w:left w:val="nil"/>
              <w:bottom w:val="single" w:sz="4" w:space="0" w:color="auto"/>
              <w:right w:val="single" w:sz="4" w:space="0" w:color="auto"/>
            </w:tcBorders>
            <w:noWrap/>
            <w:vAlign w:val="center"/>
            <w:hideMark/>
          </w:tcPr>
          <w:p w14:paraId="532C2DF8" w14:textId="7E6D6966"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108.765.294</w:t>
            </w:r>
          </w:p>
        </w:tc>
        <w:tc>
          <w:tcPr>
            <w:tcW w:w="850" w:type="dxa"/>
            <w:tcBorders>
              <w:top w:val="single" w:sz="4" w:space="0" w:color="auto"/>
              <w:left w:val="nil"/>
              <w:bottom w:val="single" w:sz="4" w:space="0" w:color="auto"/>
              <w:right w:val="single" w:sz="8" w:space="0" w:color="auto"/>
            </w:tcBorders>
            <w:noWrap/>
            <w:vAlign w:val="center"/>
            <w:hideMark/>
          </w:tcPr>
          <w:p w14:paraId="60EC6FBD" w14:textId="0521B3DF"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11,64%</w:t>
            </w:r>
          </w:p>
        </w:tc>
      </w:tr>
      <w:tr w:rsidR="00213B2F" w:rsidRPr="00495553" w14:paraId="051D81ED"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1060CA16" w14:textId="77777777"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t>Prima de servicios</w:t>
            </w:r>
          </w:p>
        </w:tc>
        <w:tc>
          <w:tcPr>
            <w:tcW w:w="1276" w:type="dxa"/>
            <w:tcBorders>
              <w:top w:val="nil"/>
              <w:left w:val="nil"/>
              <w:bottom w:val="single" w:sz="4" w:space="0" w:color="auto"/>
              <w:right w:val="single" w:sz="4" w:space="0" w:color="auto"/>
            </w:tcBorders>
            <w:noWrap/>
            <w:vAlign w:val="center"/>
            <w:hideMark/>
          </w:tcPr>
          <w:p w14:paraId="6C356729" w14:textId="4B3883D4"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49.145.347</w:t>
            </w:r>
          </w:p>
        </w:tc>
        <w:tc>
          <w:tcPr>
            <w:tcW w:w="1252" w:type="dxa"/>
            <w:tcBorders>
              <w:top w:val="nil"/>
              <w:left w:val="nil"/>
              <w:bottom w:val="single" w:sz="4" w:space="0" w:color="auto"/>
              <w:right w:val="single" w:sz="4" w:space="0" w:color="auto"/>
            </w:tcBorders>
            <w:noWrap/>
            <w:vAlign w:val="center"/>
            <w:hideMark/>
          </w:tcPr>
          <w:p w14:paraId="57C38070" w14:textId="1FFB1813"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44.696.683</w:t>
            </w:r>
          </w:p>
        </w:tc>
        <w:tc>
          <w:tcPr>
            <w:tcW w:w="896" w:type="dxa"/>
            <w:tcBorders>
              <w:top w:val="nil"/>
              <w:left w:val="nil"/>
              <w:bottom w:val="single" w:sz="4" w:space="0" w:color="auto"/>
              <w:right w:val="single" w:sz="4" w:space="0" w:color="auto"/>
            </w:tcBorders>
            <w:noWrap/>
            <w:vAlign w:val="center"/>
            <w:hideMark/>
          </w:tcPr>
          <w:p w14:paraId="02231BF0" w14:textId="2885D3F0"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90,95%</w:t>
            </w:r>
          </w:p>
        </w:tc>
        <w:tc>
          <w:tcPr>
            <w:tcW w:w="1254" w:type="dxa"/>
            <w:tcBorders>
              <w:top w:val="nil"/>
              <w:left w:val="nil"/>
              <w:bottom w:val="single" w:sz="4" w:space="0" w:color="auto"/>
              <w:right w:val="single" w:sz="4" w:space="0" w:color="auto"/>
            </w:tcBorders>
            <w:noWrap/>
            <w:vAlign w:val="center"/>
            <w:hideMark/>
          </w:tcPr>
          <w:p w14:paraId="17F37219" w14:textId="45B4F5B3"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43.622.447</w:t>
            </w:r>
          </w:p>
        </w:tc>
        <w:tc>
          <w:tcPr>
            <w:tcW w:w="1275" w:type="dxa"/>
            <w:tcBorders>
              <w:top w:val="nil"/>
              <w:left w:val="nil"/>
              <w:bottom w:val="single" w:sz="4" w:space="0" w:color="auto"/>
              <w:right w:val="single" w:sz="4" w:space="0" w:color="auto"/>
            </w:tcBorders>
            <w:noWrap/>
            <w:vAlign w:val="center"/>
            <w:hideMark/>
          </w:tcPr>
          <w:p w14:paraId="716CED7E" w14:textId="788B4C8B"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42.654.568</w:t>
            </w:r>
          </w:p>
        </w:tc>
        <w:tc>
          <w:tcPr>
            <w:tcW w:w="896" w:type="dxa"/>
            <w:tcBorders>
              <w:top w:val="nil"/>
              <w:left w:val="nil"/>
              <w:bottom w:val="single" w:sz="4" w:space="0" w:color="auto"/>
              <w:right w:val="single" w:sz="4" w:space="0" w:color="auto"/>
            </w:tcBorders>
            <w:noWrap/>
            <w:vAlign w:val="center"/>
            <w:hideMark/>
          </w:tcPr>
          <w:p w14:paraId="7ADFE565" w14:textId="2DEB4330"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98%</w:t>
            </w:r>
          </w:p>
        </w:tc>
        <w:tc>
          <w:tcPr>
            <w:tcW w:w="1231" w:type="dxa"/>
            <w:tcBorders>
              <w:top w:val="nil"/>
              <w:left w:val="nil"/>
              <w:bottom w:val="single" w:sz="4" w:space="0" w:color="auto"/>
              <w:right w:val="single" w:sz="4" w:space="0" w:color="auto"/>
            </w:tcBorders>
            <w:noWrap/>
            <w:vAlign w:val="center"/>
            <w:hideMark/>
          </w:tcPr>
          <w:p w14:paraId="7A703FCF" w14:textId="23A94C91"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2.042.115</w:t>
            </w:r>
          </w:p>
        </w:tc>
        <w:tc>
          <w:tcPr>
            <w:tcW w:w="850" w:type="dxa"/>
            <w:tcBorders>
              <w:top w:val="nil"/>
              <w:left w:val="nil"/>
              <w:bottom w:val="single" w:sz="4" w:space="0" w:color="auto"/>
              <w:right w:val="single" w:sz="8" w:space="0" w:color="auto"/>
            </w:tcBorders>
            <w:noWrap/>
            <w:vAlign w:val="center"/>
            <w:hideMark/>
          </w:tcPr>
          <w:p w14:paraId="3F4CEC99" w14:textId="44DA215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4,79%</w:t>
            </w:r>
          </w:p>
        </w:tc>
      </w:tr>
      <w:tr w:rsidR="00213B2F" w:rsidRPr="00495553" w14:paraId="32DC70C0"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580E1A7E" w14:textId="77777777"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t xml:space="preserve">Bonificación por servicios prestados </w:t>
            </w:r>
          </w:p>
        </w:tc>
        <w:tc>
          <w:tcPr>
            <w:tcW w:w="1276" w:type="dxa"/>
            <w:tcBorders>
              <w:top w:val="nil"/>
              <w:left w:val="nil"/>
              <w:bottom w:val="single" w:sz="4" w:space="0" w:color="auto"/>
              <w:right w:val="single" w:sz="4" w:space="0" w:color="auto"/>
            </w:tcBorders>
            <w:noWrap/>
            <w:vAlign w:val="center"/>
            <w:hideMark/>
          </w:tcPr>
          <w:p w14:paraId="301B32DC" w14:textId="27FD46CA"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33.426.795</w:t>
            </w:r>
          </w:p>
        </w:tc>
        <w:tc>
          <w:tcPr>
            <w:tcW w:w="1252" w:type="dxa"/>
            <w:tcBorders>
              <w:top w:val="nil"/>
              <w:left w:val="nil"/>
              <w:bottom w:val="single" w:sz="4" w:space="0" w:color="auto"/>
              <w:right w:val="single" w:sz="4" w:space="0" w:color="auto"/>
            </w:tcBorders>
            <w:noWrap/>
            <w:vAlign w:val="center"/>
            <w:hideMark/>
          </w:tcPr>
          <w:p w14:paraId="1E7AE8A8" w14:textId="78490A66"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26.753.706</w:t>
            </w:r>
          </w:p>
        </w:tc>
        <w:tc>
          <w:tcPr>
            <w:tcW w:w="896" w:type="dxa"/>
            <w:tcBorders>
              <w:top w:val="nil"/>
              <w:left w:val="nil"/>
              <w:bottom w:val="single" w:sz="4" w:space="0" w:color="auto"/>
              <w:right w:val="single" w:sz="4" w:space="0" w:color="auto"/>
            </w:tcBorders>
            <w:noWrap/>
            <w:vAlign w:val="center"/>
            <w:hideMark/>
          </w:tcPr>
          <w:p w14:paraId="6C3C3A7D" w14:textId="7B1C12A7"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80,04%</w:t>
            </w:r>
          </w:p>
        </w:tc>
        <w:tc>
          <w:tcPr>
            <w:tcW w:w="1254" w:type="dxa"/>
            <w:tcBorders>
              <w:top w:val="nil"/>
              <w:left w:val="nil"/>
              <w:bottom w:val="single" w:sz="4" w:space="0" w:color="auto"/>
              <w:right w:val="single" w:sz="4" w:space="0" w:color="auto"/>
            </w:tcBorders>
            <w:noWrap/>
            <w:vAlign w:val="center"/>
            <w:hideMark/>
          </w:tcPr>
          <w:p w14:paraId="5D9CB5DC" w14:textId="6A0ED12C"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30.164.698</w:t>
            </w:r>
          </w:p>
        </w:tc>
        <w:tc>
          <w:tcPr>
            <w:tcW w:w="1275" w:type="dxa"/>
            <w:tcBorders>
              <w:top w:val="nil"/>
              <w:left w:val="nil"/>
              <w:bottom w:val="single" w:sz="4" w:space="0" w:color="auto"/>
              <w:right w:val="single" w:sz="4" w:space="0" w:color="auto"/>
            </w:tcBorders>
            <w:noWrap/>
            <w:vAlign w:val="center"/>
            <w:hideMark/>
          </w:tcPr>
          <w:p w14:paraId="5FF99ADA" w14:textId="7C0AF2A0"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30.105.049</w:t>
            </w:r>
          </w:p>
        </w:tc>
        <w:tc>
          <w:tcPr>
            <w:tcW w:w="896" w:type="dxa"/>
            <w:tcBorders>
              <w:top w:val="nil"/>
              <w:left w:val="nil"/>
              <w:bottom w:val="single" w:sz="4" w:space="0" w:color="auto"/>
              <w:right w:val="single" w:sz="4" w:space="0" w:color="auto"/>
            </w:tcBorders>
            <w:noWrap/>
            <w:vAlign w:val="center"/>
            <w:hideMark/>
          </w:tcPr>
          <w:p w14:paraId="05B6868C" w14:textId="7DDA65C2"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100%</w:t>
            </w:r>
          </w:p>
        </w:tc>
        <w:tc>
          <w:tcPr>
            <w:tcW w:w="1231" w:type="dxa"/>
            <w:tcBorders>
              <w:top w:val="nil"/>
              <w:left w:val="nil"/>
              <w:bottom w:val="single" w:sz="4" w:space="0" w:color="auto"/>
              <w:right w:val="single" w:sz="4" w:space="0" w:color="auto"/>
            </w:tcBorders>
            <w:noWrap/>
            <w:vAlign w:val="center"/>
            <w:hideMark/>
          </w:tcPr>
          <w:p w14:paraId="46546B2C" w14:textId="1D263E6A"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-3.351.343</w:t>
            </w:r>
          </w:p>
        </w:tc>
        <w:tc>
          <w:tcPr>
            <w:tcW w:w="850" w:type="dxa"/>
            <w:tcBorders>
              <w:top w:val="nil"/>
              <w:left w:val="nil"/>
              <w:bottom w:val="single" w:sz="4" w:space="0" w:color="auto"/>
              <w:right w:val="single" w:sz="8" w:space="0" w:color="auto"/>
            </w:tcBorders>
            <w:noWrap/>
            <w:vAlign w:val="center"/>
            <w:hideMark/>
          </w:tcPr>
          <w:p w14:paraId="2FA0474F" w14:textId="175957D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-11,13%</w:t>
            </w:r>
          </w:p>
        </w:tc>
      </w:tr>
      <w:tr w:rsidR="00213B2F" w:rsidRPr="00495553" w14:paraId="7563E38D"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4DDE416D" w14:textId="77777777"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lastRenderedPageBreak/>
              <w:t>Prima de navidad</w:t>
            </w:r>
          </w:p>
        </w:tc>
        <w:tc>
          <w:tcPr>
            <w:tcW w:w="1276" w:type="dxa"/>
            <w:tcBorders>
              <w:top w:val="nil"/>
              <w:left w:val="nil"/>
              <w:bottom w:val="single" w:sz="4" w:space="0" w:color="auto"/>
              <w:right w:val="single" w:sz="4" w:space="0" w:color="auto"/>
            </w:tcBorders>
            <w:noWrap/>
            <w:vAlign w:val="center"/>
            <w:hideMark/>
          </w:tcPr>
          <w:p w14:paraId="6280DDF8" w14:textId="7C071D11"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106.652.228</w:t>
            </w:r>
          </w:p>
        </w:tc>
        <w:tc>
          <w:tcPr>
            <w:tcW w:w="1252" w:type="dxa"/>
            <w:tcBorders>
              <w:top w:val="nil"/>
              <w:left w:val="nil"/>
              <w:bottom w:val="single" w:sz="4" w:space="0" w:color="auto"/>
              <w:right w:val="single" w:sz="4" w:space="0" w:color="auto"/>
            </w:tcBorders>
            <w:noWrap/>
            <w:vAlign w:val="center"/>
            <w:hideMark/>
          </w:tcPr>
          <w:p w14:paraId="04D0581A" w14:textId="045F925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94.708.212</w:t>
            </w:r>
          </w:p>
        </w:tc>
        <w:tc>
          <w:tcPr>
            <w:tcW w:w="896" w:type="dxa"/>
            <w:tcBorders>
              <w:top w:val="nil"/>
              <w:left w:val="nil"/>
              <w:bottom w:val="single" w:sz="4" w:space="0" w:color="auto"/>
              <w:right w:val="single" w:sz="4" w:space="0" w:color="auto"/>
            </w:tcBorders>
            <w:noWrap/>
            <w:vAlign w:val="center"/>
            <w:hideMark/>
          </w:tcPr>
          <w:p w14:paraId="47D08B3A" w14:textId="557BC17C"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88,80%</w:t>
            </w:r>
          </w:p>
        </w:tc>
        <w:tc>
          <w:tcPr>
            <w:tcW w:w="1254" w:type="dxa"/>
            <w:tcBorders>
              <w:top w:val="nil"/>
              <w:left w:val="nil"/>
              <w:bottom w:val="single" w:sz="4" w:space="0" w:color="auto"/>
              <w:right w:val="single" w:sz="4" w:space="0" w:color="auto"/>
            </w:tcBorders>
            <w:noWrap/>
            <w:vAlign w:val="center"/>
            <w:hideMark/>
          </w:tcPr>
          <w:p w14:paraId="267A093D" w14:textId="193F4487"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94.666.768</w:t>
            </w:r>
          </w:p>
        </w:tc>
        <w:tc>
          <w:tcPr>
            <w:tcW w:w="1275" w:type="dxa"/>
            <w:tcBorders>
              <w:top w:val="nil"/>
              <w:left w:val="nil"/>
              <w:bottom w:val="single" w:sz="4" w:space="0" w:color="auto"/>
              <w:right w:val="single" w:sz="4" w:space="0" w:color="auto"/>
            </w:tcBorders>
            <w:noWrap/>
            <w:vAlign w:val="center"/>
            <w:hideMark/>
          </w:tcPr>
          <w:p w14:paraId="32C1227B" w14:textId="21BB06E8"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88.438.707</w:t>
            </w:r>
          </w:p>
        </w:tc>
        <w:tc>
          <w:tcPr>
            <w:tcW w:w="896" w:type="dxa"/>
            <w:tcBorders>
              <w:top w:val="nil"/>
              <w:left w:val="nil"/>
              <w:bottom w:val="single" w:sz="4" w:space="0" w:color="auto"/>
              <w:right w:val="single" w:sz="4" w:space="0" w:color="auto"/>
            </w:tcBorders>
            <w:noWrap/>
            <w:vAlign w:val="center"/>
            <w:hideMark/>
          </w:tcPr>
          <w:p w14:paraId="3654A0CD" w14:textId="138B104B"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93%</w:t>
            </w:r>
          </w:p>
        </w:tc>
        <w:tc>
          <w:tcPr>
            <w:tcW w:w="1231" w:type="dxa"/>
            <w:tcBorders>
              <w:top w:val="nil"/>
              <w:left w:val="nil"/>
              <w:bottom w:val="single" w:sz="4" w:space="0" w:color="auto"/>
              <w:right w:val="single" w:sz="4" w:space="0" w:color="auto"/>
            </w:tcBorders>
            <w:shd w:val="clear" w:color="000000" w:fill="FFFFFF"/>
            <w:noWrap/>
            <w:vAlign w:val="bottom"/>
            <w:hideMark/>
          </w:tcPr>
          <w:p w14:paraId="67A9A353" w14:textId="759F522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                  6.269.505 </w:t>
            </w:r>
          </w:p>
        </w:tc>
        <w:tc>
          <w:tcPr>
            <w:tcW w:w="850" w:type="dxa"/>
            <w:tcBorders>
              <w:top w:val="nil"/>
              <w:left w:val="nil"/>
              <w:bottom w:val="single" w:sz="4" w:space="0" w:color="auto"/>
              <w:right w:val="single" w:sz="8" w:space="0" w:color="auto"/>
            </w:tcBorders>
            <w:shd w:val="clear" w:color="000000" w:fill="FFFFFF"/>
            <w:noWrap/>
            <w:vAlign w:val="bottom"/>
            <w:hideMark/>
          </w:tcPr>
          <w:p w14:paraId="71EB9299" w14:textId="04185DF2"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 - </w:t>
            </w:r>
          </w:p>
        </w:tc>
      </w:tr>
      <w:tr w:rsidR="00213B2F" w:rsidRPr="00495553" w14:paraId="1940A0E6"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141D8EB0" w14:textId="77777777"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t>Prima de vacaciones</w:t>
            </w:r>
          </w:p>
        </w:tc>
        <w:tc>
          <w:tcPr>
            <w:tcW w:w="1276" w:type="dxa"/>
            <w:tcBorders>
              <w:top w:val="nil"/>
              <w:left w:val="nil"/>
              <w:bottom w:val="single" w:sz="4" w:space="0" w:color="auto"/>
              <w:right w:val="single" w:sz="4" w:space="0" w:color="auto"/>
            </w:tcBorders>
            <w:noWrap/>
            <w:vAlign w:val="center"/>
            <w:hideMark/>
          </w:tcPr>
          <w:p w14:paraId="4CF7B028" w14:textId="57EF0746"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51.193.070</w:t>
            </w:r>
          </w:p>
        </w:tc>
        <w:tc>
          <w:tcPr>
            <w:tcW w:w="1252" w:type="dxa"/>
            <w:tcBorders>
              <w:top w:val="nil"/>
              <w:left w:val="nil"/>
              <w:bottom w:val="single" w:sz="4" w:space="0" w:color="auto"/>
              <w:right w:val="single" w:sz="4" w:space="0" w:color="auto"/>
            </w:tcBorders>
            <w:noWrap/>
            <w:vAlign w:val="center"/>
            <w:hideMark/>
          </w:tcPr>
          <w:p w14:paraId="552DCD8A" w14:textId="27A36819"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41.546.454</w:t>
            </w:r>
          </w:p>
        </w:tc>
        <w:tc>
          <w:tcPr>
            <w:tcW w:w="896" w:type="dxa"/>
            <w:tcBorders>
              <w:top w:val="nil"/>
              <w:left w:val="nil"/>
              <w:bottom w:val="single" w:sz="4" w:space="0" w:color="auto"/>
              <w:right w:val="single" w:sz="4" w:space="0" w:color="auto"/>
            </w:tcBorders>
            <w:noWrap/>
            <w:vAlign w:val="center"/>
            <w:hideMark/>
          </w:tcPr>
          <w:p w14:paraId="59330D42" w14:textId="410D18B8"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81,16%</w:t>
            </w:r>
          </w:p>
        </w:tc>
        <w:tc>
          <w:tcPr>
            <w:tcW w:w="1254" w:type="dxa"/>
            <w:tcBorders>
              <w:top w:val="nil"/>
              <w:left w:val="nil"/>
              <w:bottom w:val="single" w:sz="4" w:space="0" w:color="auto"/>
              <w:right w:val="single" w:sz="4" w:space="0" w:color="auto"/>
            </w:tcBorders>
            <w:noWrap/>
            <w:vAlign w:val="center"/>
            <w:hideMark/>
          </w:tcPr>
          <w:p w14:paraId="16908CEC" w14:textId="1D45F19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45.245.679</w:t>
            </w:r>
          </w:p>
        </w:tc>
        <w:tc>
          <w:tcPr>
            <w:tcW w:w="1275" w:type="dxa"/>
            <w:tcBorders>
              <w:top w:val="nil"/>
              <w:left w:val="nil"/>
              <w:bottom w:val="single" w:sz="4" w:space="0" w:color="auto"/>
              <w:right w:val="single" w:sz="4" w:space="0" w:color="auto"/>
            </w:tcBorders>
            <w:noWrap/>
            <w:vAlign w:val="center"/>
            <w:hideMark/>
          </w:tcPr>
          <w:p w14:paraId="427AFB72" w14:textId="47212E3A"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45.245.679</w:t>
            </w:r>
          </w:p>
        </w:tc>
        <w:tc>
          <w:tcPr>
            <w:tcW w:w="896" w:type="dxa"/>
            <w:tcBorders>
              <w:top w:val="nil"/>
              <w:left w:val="nil"/>
              <w:bottom w:val="single" w:sz="4" w:space="0" w:color="auto"/>
              <w:right w:val="single" w:sz="4" w:space="0" w:color="auto"/>
            </w:tcBorders>
            <w:noWrap/>
            <w:vAlign w:val="center"/>
            <w:hideMark/>
          </w:tcPr>
          <w:p w14:paraId="030D29B9" w14:textId="4C99524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100%</w:t>
            </w:r>
          </w:p>
        </w:tc>
        <w:tc>
          <w:tcPr>
            <w:tcW w:w="1231" w:type="dxa"/>
            <w:tcBorders>
              <w:top w:val="nil"/>
              <w:left w:val="nil"/>
              <w:bottom w:val="single" w:sz="4" w:space="0" w:color="auto"/>
              <w:right w:val="single" w:sz="4" w:space="0" w:color="auto"/>
            </w:tcBorders>
            <w:noWrap/>
            <w:vAlign w:val="center"/>
            <w:hideMark/>
          </w:tcPr>
          <w:p w14:paraId="2B064180" w14:textId="171545AF"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-3.699.225</w:t>
            </w:r>
          </w:p>
        </w:tc>
        <w:tc>
          <w:tcPr>
            <w:tcW w:w="850" w:type="dxa"/>
            <w:tcBorders>
              <w:top w:val="nil"/>
              <w:left w:val="nil"/>
              <w:bottom w:val="single" w:sz="4" w:space="0" w:color="auto"/>
              <w:right w:val="single" w:sz="8" w:space="0" w:color="auto"/>
            </w:tcBorders>
            <w:noWrap/>
            <w:vAlign w:val="center"/>
            <w:hideMark/>
          </w:tcPr>
          <w:p w14:paraId="2A0B942F" w14:textId="0F63BA9F"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-8,18%</w:t>
            </w:r>
          </w:p>
        </w:tc>
      </w:tr>
      <w:tr w:rsidR="00213B2F" w:rsidRPr="00495553" w14:paraId="2A29082E" w14:textId="77777777" w:rsidTr="00495553">
        <w:trPr>
          <w:trHeight w:val="288"/>
          <w:jc w:val="center"/>
        </w:trPr>
        <w:tc>
          <w:tcPr>
            <w:tcW w:w="1975" w:type="dxa"/>
            <w:tcBorders>
              <w:top w:val="nil"/>
              <w:left w:val="single" w:sz="8" w:space="0" w:color="auto"/>
              <w:bottom w:val="single" w:sz="4" w:space="0" w:color="auto"/>
              <w:right w:val="single" w:sz="4" w:space="0" w:color="auto"/>
            </w:tcBorders>
            <w:vAlign w:val="center"/>
            <w:hideMark/>
          </w:tcPr>
          <w:p w14:paraId="5F695884" w14:textId="14FCEA0F" w:rsidR="00213B2F" w:rsidRPr="00495553" w:rsidRDefault="00213B2F" w:rsidP="00213B2F">
            <w:pPr>
              <w:spacing w:after="0" w:line="240" w:lineRule="auto"/>
              <w:jc w:val="both"/>
              <w:rPr>
                <w:rFonts w:ascii="Arial" w:eastAsia="Times New Roman" w:hAnsi="Arial" w:cs="Arial"/>
                <w:color w:val="000000"/>
                <w:kern w:val="0"/>
                <w:sz w:val="16"/>
                <w:szCs w:val="16"/>
                <w:lang w:eastAsia="es-CO"/>
                <w14:ligatures w14:val="none"/>
              </w:rPr>
            </w:pPr>
            <w:r w:rsidRPr="00495553">
              <w:rPr>
                <w:rFonts w:ascii="Arial" w:eastAsia="Times New Roman" w:hAnsi="Arial" w:cs="Arial"/>
                <w:color w:val="000000"/>
                <w:kern w:val="0"/>
                <w:sz w:val="16"/>
                <w:szCs w:val="16"/>
                <w:lang w:eastAsia="es-CO"/>
                <w14:ligatures w14:val="none"/>
              </w:rPr>
              <w:t xml:space="preserve">Viáticos de funcionarios en comisión </w:t>
            </w:r>
          </w:p>
        </w:tc>
        <w:tc>
          <w:tcPr>
            <w:tcW w:w="1276" w:type="dxa"/>
            <w:tcBorders>
              <w:top w:val="nil"/>
              <w:left w:val="nil"/>
              <w:bottom w:val="single" w:sz="4" w:space="0" w:color="auto"/>
              <w:right w:val="single" w:sz="4" w:space="0" w:color="auto"/>
            </w:tcBorders>
            <w:noWrap/>
            <w:vAlign w:val="center"/>
            <w:hideMark/>
          </w:tcPr>
          <w:p w14:paraId="6775AC4C" w14:textId="5E579297"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80.000.000</w:t>
            </w:r>
          </w:p>
        </w:tc>
        <w:tc>
          <w:tcPr>
            <w:tcW w:w="1252" w:type="dxa"/>
            <w:tcBorders>
              <w:top w:val="nil"/>
              <w:left w:val="nil"/>
              <w:bottom w:val="single" w:sz="4" w:space="0" w:color="auto"/>
              <w:right w:val="single" w:sz="4" w:space="0" w:color="auto"/>
            </w:tcBorders>
            <w:noWrap/>
            <w:vAlign w:val="center"/>
            <w:hideMark/>
          </w:tcPr>
          <w:p w14:paraId="285FD27A" w14:textId="6536555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60.512.245</w:t>
            </w:r>
          </w:p>
        </w:tc>
        <w:tc>
          <w:tcPr>
            <w:tcW w:w="896" w:type="dxa"/>
            <w:tcBorders>
              <w:top w:val="nil"/>
              <w:left w:val="nil"/>
              <w:bottom w:val="single" w:sz="4" w:space="0" w:color="auto"/>
              <w:right w:val="single" w:sz="4" w:space="0" w:color="auto"/>
            </w:tcBorders>
            <w:noWrap/>
            <w:vAlign w:val="center"/>
            <w:hideMark/>
          </w:tcPr>
          <w:p w14:paraId="7F1A5740" w14:textId="7272107E"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75,64%</w:t>
            </w:r>
          </w:p>
        </w:tc>
        <w:tc>
          <w:tcPr>
            <w:tcW w:w="1254" w:type="dxa"/>
            <w:tcBorders>
              <w:top w:val="nil"/>
              <w:left w:val="nil"/>
              <w:bottom w:val="single" w:sz="4" w:space="0" w:color="auto"/>
              <w:right w:val="single" w:sz="4" w:space="0" w:color="auto"/>
            </w:tcBorders>
            <w:noWrap/>
            <w:vAlign w:val="center"/>
            <w:hideMark/>
          </w:tcPr>
          <w:p w14:paraId="309236A6" w14:textId="32F310EA"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64.000.000</w:t>
            </w:r>
          </w:p>
        </w:tc>
        <w:tc>
          <w:tcPr>
            <w:tcW w:w="1275" w:type="dxa"/>
            <w:tcBorders>
              <w:top w:val="nil"/>
              <w:left w:val="nil"/>
              <w:bottom w:val="single" w:sz="4" w:space="0" w:color="auto"/>
              <w:right w:val="single" w:sz="4" w:space="0" w:color="auto"/>
            </w:tcBorders>
            <w:noWrap/>
            <w:vAlign w:val="center"/>
            <w:hideMark/>
          </w:tcPr>
          <w:p w14:paraId="744756A4" w14:textId="77F6B6AC"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54.929.642</w:t>
            </w:r>
          </w:p>
        </w:tc>
        <w:tc>
          <w:tcPr>
            <w:tcW w:w="896" w:type="dxa"/>
            <w:tcBorders>
              <w:top w:val="nil"/>
              <w:left w:val="nil"/>
              <w:bottom w:val="single" w:sz="4" w:space="0" w:color="auto"/>
              <w:right w:val="single" w:sz="4" w:space="0" w:color="auto"/>
            </w:tcBorders>
            <w:noWrap/>
            <w:vAlign w:val="center"/>
            <w:hideMark/>
          </w:tcPr>
          <w:p w14:paraId="6FD3D7B2" w14:textId="54E59173"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86%</w:t>
            </w:r>
          </w:p>
        </w:tc>
        <w:tc>
          <w:tcPr>
            <w:tcW w:w="1231" w:type="dxa"/>
            <w:tcBorders>
              <w:top w:val="nil"/>
              <w:left w:val="nil"/>
              <w:bottom w:val="single" w:sz="4" w:space="0" w:color="auto"/>
              <w:right w:val="single" w:sz="4" w:space="0" w:color="auto"/>
            </w:tcBorders>
            <w:noWrap/>
            <w:vAlign w:val="center"/>
            <w:hideMark/>
          </w:tcPr>
          <w:p w14:paraId="2D06CD43" w14:textId="41CEFE4D"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5.582.603</w:t>
            </w:r>
          </w:p>
        </w:tc>
        <w:tc>
          <w:tcPr>
            <w:tcW w:w="850" w:type="dxa"/>
            <w:tcBorders>
              <w:top w:val="nil"/>
              <w:left w:val="nil"/>
              <w:bottom w:val="single" w:sz="4" w:space="0" w:color="auto"/>
              <w:right w:val="single" w:sz="8" w:space="0" w:color="auto"/>
            </w:tcBorders>
            <w:noWrap/>
            <w:vAlign w:val="center"/>
            <w:hideMark/>
          </w:tcPr>
          <w:p w14:paraId="78FD5815" w14:textId="0F5852A9" w:rsidR="00213B2F" w:rsidRPr="00495553" w:rsidRDefault="00213B2F" w:rsidP="00213B2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10,16%</w:t>
            </w:r>
          </w:p>
        </w:tc>
      </w:tr>
      <w:tr w:rsidR="00213B2F" w:rsidRPr="00495553" w14:paraId="115286B4" w14:textId="77777777" w:rsidTr="00495553">
        <w:trPr>
          <w:trHeight w:val="300"/>
          <w:jc w:val="center"/>
        </w:trPr>
        <w:tc>
          <w:tcPr>
            <w:tcW w:w="1975" w:type="dxa"/>
            <w:tcBorders>
              <w:top w:val="nil"/>
              <w:left w:val="single" w:sz="8" w:space="0" w:color="auto"/>
              <w:bottom w:val="single" w:sz="8" w:space="0" w:color="auto"/>
              <w:right w:val="single" w:sz="4" w:space="0" w:color="auto"/>
            </w:tcBorders>
            <w:shd w:val="clear" w:color="000000" w:fill="BDD6EE"/>
            <w:vAlign w:val="center"/>
            <w:hideMark/>
          </w:tcPr>
          <w:p w14:paraId="032B8B94" w14:textId="77777777" w:rsidR="00213B2F" w:rsidRPr="00495553" w:rsidRDefault="00213B2F" w:rsidP="00213B2F">
            <w:pPr>
              <w:spacing w:after="0" w:line="240" w:lineRule="auto"/>
              <w:jc w:val="center"/>
              <w:rPr>
                <w:rFonts w:ascii="Arial" w:eastAsia="Times New Roman" w:hAnsi="Arial" w:cs="Arial"/>
                <w:b/>
                <w:bCs/>
                <w:color w:val="000000"/>
                <w:kern w:val="0"/>
                <w:sz w:val="16"/>
                <w:szCs w:val="16"/>
                <w:lang w:eastAsia="es-CO"/>
                <w14:ligatures w14:val="none"/>
              </w:rPr>
            </w:pPr>
            <w:r w:rsidRPr="00495553">
              <w:rPr>
                <w:rFonts w:ascii="Arial" w:eastAsia="Times New Roman" w:hAnsi="Arial" w:cs="Arial"/>
                <w:b/>
                <w:bCs/>
                <w:color w:val="000000"/>
                <w:kern w:val="0"/>
                <w:sz w:val="16"/>
                <w:szCs w:val="16"/>
                <w:lang w:eastAsia="es-CO"/>
                <w14:ligatures w14:val="none"/>
              </w:rPr>
              <w:t>Total</w:t>
            </w:r>
          </w:p>
        </w:tc>
        <w:tc>
          <w:tcPr>
            <w:tcW w:w="1276" w:type="dxa"/>
            <w:tcBorders>
              <w:top w:val="nil"/>
              <w:left w:val="nil"/>
              <w:bottom w:val="single" w:sz="8" w:space="0" w:color="auto"/>
              <w:right w:val="single" w:sz="4" w:space="0" w:color="auto"/>
            </w:tcBorders>
            <w:shd w:val="clear" w:color="000000" w:fill="BDD6EE"/>
            <w:noWrap/>
            <w:vAlign w:val="center"/>
            <w:hideMark/>
          </w:tcPr>
          <w:p w14:paraId="38966F74" w14:textId="0F6542EA"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1.606.093.113</w:t>
            </w:r>
          </w:p>
        </w:tc>
        <w:tc>
          <w:tcPr>
            <w:tcW w:w="1252" w:type="dxa"/>
            <w:tcBorders>
              <w:top w:val="nil"/>
              <w:left w:val="nil"/>
              <w:bottom w:val="single" w:sz="8" w:space="0" w:color="auto"/>
              <w:right w:val="single" w:sz="4" w:space="0" w:color="auto"/>
            </w:tcBorders>
            <w:shd w:val="clear" w:color="000000" w:fill="BDD6EE"/>
            <w:noWrap/>
            <w:vAlign w:val="center"/>
            <w:hideMark/>
          </w:tcPr>
          <w:p w14:paraId="7E3E81F1" w14:textId="2A78B973"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1.311.444.657</w:t>
            </w:r>
          </w:p>
        </w:tc>
        <w:tc>
          <w:tcPr>
            <w:tcW w:w="896" w:type="dxa"/>
            <w:tcBorders>
              <w:top w:val="nil"/>
              <w:left w:val="nil"/>
              <w:bottom w:val="single" w:sz="8" w:space="0" w:color="auto"/>
              <w:right w:val="single" w:sz="4" w:space="0" w:color="auto"/>
            </w:tcBorders>
            <w:shd w:val="clear" w:color="000000" w:fill="BDD6EE"/>
            <w:noWrap/>
            <w:vAlign w:val="center"/>
            <w:hideMark/>
          </w:tcPr>
          <w:p w14:paraId="3F0BF25D" w14:textId="6C74823B"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82%</w:t>
            </w:r>
          </w:p>
        </w:tc>
        <w:tc>
          <w:tcPr>
            <w:tcW w:w="1254" w:type="dxa"/>
            <w:tcBorders>
              <w:top w:val="nil"/>
              <w:left w:val="nil"/>
              <w:bottom w:val="single" w:sz="8" w:space="0" w:color="auto"/>
              <w:right w:val="single" w:sz="4" w:space="0" w:color="auto"/>
            </w:tcBorders>
            <w:shd w:val="clear" w:color="000000" w:fill="BDD6EE"/>
            <w:noWrap/>
            <w:vAlign w:val="center"/>
            <w:hideMark/>
          </w:tcPr>
          <w:p w14:paraId="485D9E58" w14:textId="59332ECE"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1.356.907.985</w:t>
            </w:r>
          </w:p>
        </w:tc>
        <w:tc>
          <w:tcPr>
            <w:tcW w:w="1275" w:type="dxa"/>
            <w:tcBorders>
              <w:top w:val="nil"/>
              <w:left w:val="nil"/>
              <w:bottom w:val="single" w:sz="8" w:space="0" w:color="auto"/>
              <w:right w:val="single" w:sz="4" w:space="0" w:color="auto"/>
            </w:tcBorders>
            <w:shd w:val="clear" w:color="000000" w:fill="BDD6EE"/>
            <w:noWrap/>
            <w:vAlign w:val="center"/>
            <w:hideMark/>
          </w:tcPr>
          <w:p w14:paraId="4A907786" w14:textId="1E8E7137"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1.195.835.708</w:t>
            </w:r>
          </w:p>
        </w:tc>
        <w:tc>
          <w:tcPr>
            <w:tcW w:w="896" w:type="dxa"/>
            <w:tcBorders>
              <w:top w:val="nil"/>
              <w:left w:val="nil"/>
              <w:bottom w:val="single" w:sz="8" w:space="0" w:color="auto"/>
              <w:right w:val="single" w:sz="4" w:space="0" w:color="auto"/>
            </w:tcBorders>
            <w:shd w:val="clear" w:color="000000" w:fill="BDD6EE"/>
            <w:noWrap/>
            <w:vAlign w:val="center"/>
            <w:hideMark/>
          </w:tcPr>
          <w:p w14:paraId="23463C8D" w14:textId="07921457"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88%</w:t>
            </w:r>
          </w:p>
        </w:tc>
        <w:tc>
          <w:tcPr>
            <w:tcW w:w="1231" w:type="dxa"/>
            <w:tcBorders>
              <w:top w:val="nil"/>
              <w:left w:val="nil"/>
              <w:bottom w:val="single" w:sz="8" w:space="0" w:color="auto"/>
              <w:right w:val="single" w:sz="4" w:space="0" w:color="auto"/>
            </w:tcBorders>
            <w:shd w:val="clear" w:color="000000" w:fill="BDD6EE"/>
            <w:noWrap/>
            <w:vAlign w:val="center"/>
            <w:hideMark/>
          </w:tcPr>
          <w:p w14:paraId="588DC423" w14:textId="7977D09F"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115.608.949</w:t>
            </w:r>
          </w:p>
        </w:tc>
        <w:tc>
          <w:tcPr>
            <w:tcW w:w="850" w:type="dxa"/>
            <w:tcBorders>
              <w:top w:val="nil"/>
              <w:left w:val="nil"/>
              <w:bottom w:val="single" w:sz="8" w:space="0" w:color="auto"/>
              <w:right w:val="single" w:sz="8" w:space="0" w:color="auto"/>
            </w:tcBorders>
            <w:shd w:val="clear" w:color="000000" w:fill="BDD6EE"/>
            <w:noWrap/>
            <w:vAlign w:val="center"/>
            <w:hideMark/>
          </w:tcPr>
          <w:p w14:paraId="51AA6787" w14:textId="6FBB0CC0" w:rsidR="00213B2F" w:rsidRPr="00495553" w:rsidRDefault="00213B2F" w:rsidP="00213B2F">
            <w:pPr>
              <w:spacing w:after="0" w:line="240" w:lineRule="auto"/>
              <w:jc w:val="right"/>
              <w:rPr>
                <w:rFonts w:ascii="Calibri" w:eastAsia="Times New Roman" w:hAnsi="Calibri" w:cs="Calibri"/>
                <w:b/>
                <w:bCs/>
                <w:color w:val="000000"/>
                <w:kern w:val="0"/>
                <w:sz w:val="16"/>
                <w:szCs w:val="16"/>
                <w:lang w:eastAsia="es-CO"/>
                <w14:ligatures w14:val="none"/>
              </w:rPr>
            </w:pPr>
            <w:r>
              <w:rPr>
                <w:rFonts w:ascii="Calibri" w:hAnsi="Calibri" w:cs="Calibri"/>
                <w:b/>
                <w:bCs/>
                <w:color w:val="000000"/>
                <w:sz w:val="18"/>
                <w:szCs w:val="18"/>
              </w:rPr>
              <w:t>10%</w:t>
            </w:r>
          </w:p>
        </w:tc>
      </w:tr>
    </w:tbl>
    <w:p w14:paraId="1C8220E5" w14:textId="77777777" w:rsidR="00AE6F46" w:rsidRPr="00495553" w:rsidRDefault="00AE6F46" w:rsidP="002D5914">
      <w:pPr>
        <w:spacing w:line="360" w:lineRule="auto"/>
        <w:ind w:left="207"/>
        <w:jc w:val="both"/>
        <w:rPr>
          <w:rFonts w:ascii="Arial" w:hAnsi="Arial" w:cs="Arial"/>
          <w:sz w:val="12"/>
          <w:szCs w:val="12"/>
        </w:rPr>
      </w:pPr>
    </w:p>
    <w:p w14:paraId="7925AF3F" w14:textId="77777777" w:rsidR="00213B2F" w:rsidRPr="00213B2F" w:rsidRDefault="00213B2F" w:rsidP="00213B2F">
      <w:pPr>
        <w:spacing w:line="360" w:lineRule="auto"/>
        <w:jc w:val="both"/>
        <w:rPr>
          <w:rFonts w:ascii="Arial" w:hAnsi="Arial" w:cs="Arial"/>
        </w:rPr>
      </w:pPr>
      <w:r w:rsidRPr="00213B2F">
        <w:rPr>
          <w:rFonts w:ascii="Arial" w:hAnsi="Arial" w:cs="Arial"/>
        </w:rPr>
        <w:t>El análisis de los rubros relacionados con el gasto de personal de la RAP Eje Cafetero a 31 de diciembre de 2024 evidencia un comportamiento diferenciado en los distintos conceptos frente a la vigencia 2023. En primer lugar, el sueldo básico presentó un aumento en su presupuesto definitivo, pasando de $1.079.208.393 en 2023 a $1.285.675.673 en 2024, con una variación absoluta de $108.765.294, equivalente al 11,64%. Aunque la ejecución en términos absolutos fue mayor, el porcentaje de cumplimiento disminuyó de 87% en 2023 a 81,14% en 2024, lo cual refleja que, a pesar del mayor esfuerzo presupuestal, no se logró ejecutar en la misma proporción frente a lo aprobado. Este comportamiento está asociado tanto al incremento salarial anual establecido por norma como a la estabilidad en la vinculación del personal durante todo el año, en contraste con 2023, cuando hubo meses sin disponibilidad de algunos funcionarios.</w:t>
      </w:r>
    </w:p>
    <w:p w14:paraId="35C0FBB3" w14:textId="77777777" w:rsidR="00213B2F" w:rsidRPr="00213B2F" w:rsidRDefault="00213B2F" w:rsidP="00213B2F">
      <w:pPr>
        <w:spacing w:line="360" w:lineRule="auto"/>
        <w:jc w:val="both"/>
        <w:rPr>
          <w:rFonts w:ascii="Arial" w:hAnsi="Arial" w:cs="Arial"/>
        </w:rPr>
      </w:pPr>
      <w:r w:rsidRPr="00213B2F">
        <w:rPr>
          <w:rFonts w:ascii="Arial" w:hAnsi="Arial" w:cs="Arial"/>
        </w:rPr>
        <w:t>En lo correspondiente a la prima de servicios, se evidencia un incremento moderado del 4,79% en la asignación presupuestal, con una ejecución del 90,95% en 2024 frente al 98% registrado en 2023. Aunque el porcentaje de cumplimiento disminuyó, el comportamiento general sigue mostrando un adecuado nivel de ejecución.</w:t>
      </w:r>
    </w:p>
    <w:p w14:paraId="4784C696" w14:textId="0AC6D32B" w:rsidR="00213B2F" w:rsidRPr="00213B2F" w:rsidRDefault="00213B2F" w:rsidP="00213B2F">
      <w:pPr>
        <w:spacing w:line="360" w:lineRule="auto"/>
        <w:jc w:val="both"/>
        <w:rPr>
          <w:rFonts w:ascii="Arial" w:hAnsi="Arial" w:cs="Arial"/>
        </w:rPr>
      </w:pPr>
      <w:r w:rsidRPr="00213B2F">
        <w:rPr>
          <w:rFonts w:ascii="Arial" w:hAnsi="Arial" w:cs="Arial"/>
        </w:rPr>
        <w:t xml:space="preserve">La bonificación por servicios prestados refleja un ajuste a la baja, con una variación absoluta negativa de $3.351.343, equivalente al -11,13%. Este rubro pasó de ejecutarse al 100% en 2023 a un 80,04% en 2024, lo que </w:t>
      </w:r>
      <w:r>
        <w:rPr>
          <w:rFonts w:ascii="Arial" w:hAnsi="Arial" w:cs="Arial"/>
        </w:rPr>
        <w:t>muestra</w:t>
      </w:r>
      <w:r w:rsidRPr="00213B2F">
        <w:rPr>
          <w:rFonts w:ascii="Arial" w:hAnsi="Arial" w:cs="Arial"/>
        </w:rPr>
        <w:t xml:space="preserve"> un menor nivel de desembolso respecto al presupuesto proyectado.</w:t>
      </w:r>
    </w:p>
    <w:p w14:paraId="4BC34A0C" w14:textId="77777777" w:rsidR="00213B2F" w:rsidRPr="00213B2F" w:rsidRDefault="00213B2F" w:rsidP="00213B2F">
      <w:pPr>
        <w:spacing w:line="360" w:lineRule="auto"/>
        <w:jc w:val="both"/>
        <w:rPr>
          <w:rFonts w:ascii="Arial" w:hAnsi="Arial" w:cs="Arial"/>
        </w:rPr>
      </w:pPr>
      <w:r w:rsidRPr="00213B2F">
        <w:rPr>
          <w:rFonts w:ascii="Arial" w:hAnsi="Arial" w:cs="Arial"/>
        </w:rPr>
        <w:t>En cuanto a la prima de navidad, el presupuesto creció en $6.269.505 respecto al año anterior, manteniendo una ejecución del 88,80% en 2024 frente al 93% en 2023. Si bien se observa un incremento en el monto asignado, el cumplimiento porcentual bajó levemente.</w:t>
      </w:r>
    </w:p>
    <w:p w14:paraId="1DFC9B3C" w14:textId="77777777" w:rsidR="00213B2F" w:rsidRPr="00213B2F" w:rsidRDefault="00213B2F" w:rsidP="00213B2F">
      <w:pPr>
        <w:spacing w:line="360" w:lineRule="auto"/>
        <w:jc w:val="both"/>
        <w:rPr>
          <w:rFonts w:ascii="Arial" w:hAnsi="Arial" w:cs="Arial"/>
        </w:rPr>
      </w:pPr>
      <w:r w:rsidRPr="00213B2F">
        <w:rPr>
          <w:rFonts w:ascii="Arial" w:hAnsi="Arial" w:cs="Arial"/>
        </w:rPr>
        <w:t>La prima de vacaciones, por su parte, tuvo una reducción del 8,18% en su presupuesto, con una ejecución del 81,16% en 2024, inferior al 100% logrado en 2023. Esto evidencia que no todos los recursos proyectados se utilizaron, posiblemente por la programación interna de disfrute de vacaciones.</w:t>
      </w:r>
    </w:p>
    <w:p w14:paraId="7EDBFD59" w14:textId="02075422" w:rsidR="00213B2F" w:rsidRPr="00213B2F" w:rsidRDefault="00213B2F" w:rsidP="00213B2F">
      <w:pPr>
        <w:spacing w:line="360" w:lineRule="auto"/>
        <w:jc w:val="both"/>
        <w:rPr>
          <w:rFonts w:ascii="Arial" w:hAnsi="Arial" w:cs="Arial"/>
        </w:rPr>
      </w:pPr>
      <w:r>
        <w:rPr>
          <w:rFonts w:ascii="Arial" w:hAnsi="Arial" w:cs="Arial"/>
        </w:rPr>
        <w:lastRenderedPageBreak/>
        <w:t>L</w:t>
      </w:r>
      <w:r w:rsidRPr="00213B2F">
        <w:rPr>
          <w:rFonts w:ascii="Arial" w:hAnsi="Arial" w:cs="Arial"/>
        </w:rPr>
        <w:t>os viáticos para funcionarios en comisión registraron un aumento del 10,16% en la asignación presupuestal, pasando de $64.000.000 en 2023 a $80.000.000 en 2024. La ejecución alcanzó el 75,64%, lo que representa un cumplimiento inferior al 86% del año anterior, a pesar del incremento en los recursos disponibles.</w:t>
      </w:r>
    </w:p>
    <w:p w14:paraId="58933425" w14:textId="69DC7F5C" w:rsidR="00213B2F" w:rsidRPr="00213B2F" w:rsidRDefault="00213B2F" w:rsidP="00213B2F">
      <w:pPr>
        <w:spacing w:line="360" w:lineRule="auto"/>
        <w:jc w:val="both"/>
        <w:rPr>
          <w:rFonts w:ascii="Arial" w:hAnsi="Arial" w:cs="Arial"/>
        </w:rPr>
      </w:pPr>
      <w:r>
        <w:rPr>
          <w:rFonts w:ascii="Arial" w:hAnsi="Arial" w:cs="Arial"/>
        </w:rPr>
        <w:t>El</w:t>
      </w:r>
      <w:r w:rsidRPr="00213B2F">
        <w:rPr>
          <w:rFonts w:ascii="Arial" w:hAnsi="Arial" w:cs="Arial"/>
        </w:rPr>
        <w:t xml:space="preserve"> total de estos rubros pasó de un presupuesto de $1.356.907.985 en 2023 a $1.606.093.113 en 2024, con una variación positiva de $115.608.949, equivalente al 10%. La ejecución fue de $1.311.444.657 en 2024 frente a $1.195.835.708 en 2023, reflejando un mayor desembolso absoluto. Sin embargo, el porcentaje de cumplimiento disminuyó del 88% en 2023 al 82% en 2024, lo que señala la necesidad de reforzar la planeación y el control del gasto para lograr una mejor correspondencia entre los recursos asignados y su nivel de ejecución, en coherencia con los principios de eficiencia y austeridad.</w:t>
      </w:r>
    </w:p>
    <w:p w14:paraId="6B967ED3" w14:textId="708CCEA5" w:rsidR="00C05509" w:rsidRDefault="00AC318D" w:rsidP="00495553">
      <w:pPr>
        <w:spacing w:line="360" w:lineRule="auto"/>
        <w:jc w:val="both"/>
        <w:rPr>
          <w:rFonts w:ascii="Arial" w:hAnsi="Arial" w:cs="Arial"/>
        </w:rPr>
      </w:pPr>
      <w:r>
        <w:rPr>
          <w:noProof/>
        </w:rPr>
        <w:drawing>
          <wp:anchor distT="0" distB="0" distL="114300" distR="114300" simplePos="0" relativeHeight="251664384" behindDoc="1" locked="0" layoutInCell="1" allowOverlap="1" wp14:anchorId="64E072FF" wp14:editId="5412E73A">
            <wp:simplePos x="0" y="0"/>
            <wp:positionH relativeFrom="column">
              <wp:posOffset>720090</wp:posOffset>
            </wp:positionH>
            <wp:positionV relativeFrom="paragraph">
              <wp:posOffset>106680</wp:posOffset>
            </wp:positionV>
            <wp:extent cx="4572000" cy="2743200"/>
            <wp:effectExtent l="0" t="0" r="0" b="0"/>
            <wp:wrapNone/>
            <wp:docPr id="1897585583" name="Gráfico 1">
              <a:extLst xmlns:a="http://schemas.openxmlformats.org/drawingml/2006/main">
                <a:ext uri="{FF2B5EF4-FFF2-40B4-BE49-F238E27FC236}">
                  <a16:creationId xmlns:a16="http://schemas.microsoft.com/office/drawing/2014/main" id="{C0654ACC-C53C-56E3-C150-643D3933B4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7C65B84A" w14:textId="7DB3A00A" w:rsidR="00C05509" w:rsidRDefault="00C05509" w:rsidP="00495553">
      <w:pPr>
        <w:spacing w:line="360" w:lineRule="auto"/>
        <w:jc w:val="both"/>
        <w:rPr>
          <w:rFonts w:ascii="Arial" w:hAnsi="Arial" w:cs="Arial"/>
        </w:rPr>
      </w:pPr>
    </w:p>
    <w:p w14:paraId="0FF63317" w14:textId="125E4739" w:rsidR="00C05509" w:rsidRDefault="00C05509" w:rsidP="00495553">
      <w:pPr>
        <w:spacing w:line="360" w:lineRule="auto"/>
        <w:jc w:val="both"/>
        <w:rPr>
          <w:rFonts w:ascii="Arial" w:hAnsi="Arial" w:cs="Arial"/>
        </w:rPr>
      </w:pPr>
    </w:p>
    <w:p w14:paraId="2D71E514" w14:textId="404986E4" w:rsidR="00C05509" w:rsidRPr="00495553" w:rsidRDefault="00C05509" w:rsidP="00495553">
      <w:pPr>
        <w:spacing w:line="360" w:lineRule="auto"/>
        <w:jc w:val="both"/>
        <w:rPr>
          <w:rFonts w:ascii="Arial" w:hAnsi="Arial" w:cs="Arial"/>
        </w:rPr>
      </w:pPr>
    </w:p>
    <w:p w14:paraId="61498A08" w14:textId="6B175EA3" w:rsidR="00C05509" w:rsidRDefault="00C05509" w:rsidP="00495553">
      <w:pPr>
        <w:spacing w:line="360" w:lineRule="auto"/>
        <w:jc w:val="both"/>
        <w:rPr>
          <w:rFonts w:ascii="Arial" w:hAnsi="Arial" w:cs="Arial"/>
        </w:rPr>
      </w:pPr>
    </w:p>
    <w:p w14:paraId="28942818" w14:textId="77777777" w:rsidR="00C05509" w:rsidRDefault="00C05509" w:rsidP="00495553">
      <w:pPr>
        <w:spacing w:line="360" w:lineRule="auto"/>
        <w:jc w:val="both"/>
        <w:rPr>
          <w:rFonts w:ascii="Arial" w:hAnsi="Arial" w:cs="Arial"/>
        </w:rPr>
      </w:pPr>
    </w:p>
    <w:p w14:paraId="7602DBB5" w14:textId="77777777" w:rsidR="00C05509" w:rsidRDefault="00C05509" w:rsidP="00495553">
      <w:pPr>
        <w:spacing w:line="360" w:lineRule="auto"/>
        <w:jc w:val="both"/>
        <w:rPr>
          <w:rFonts w:ascii="Arial" w:hAnsi="Arial" w:cs="Arial"/>
        </w:rPr>
      </w:pPr>
    </w:p>
    <w:p w14:paraId="12A868A8" w14:textId="77777777" w:rsidR="00C05509" w:rsidRDefault="00C05509" w:rsidP="00495553">
      <w:pPr>
        <w:spacing w:line="360" w:lineRule="auto"/>
        <w:jc w:val="both"/>
        <w:rPr>
          <w:rFonts w:ascii="Arial" w:hAnsi="Arial" w:cs="Arial"/>
        </w:rPr>
      </w:pPr>
    </w:p>
    <w:p w14:paraId="29FEF695" w14:textId="77777777" w:rsidR="00C05509" w:rsidRPr="00AC318D" w:rsidRDefault="00C05509" w:rsidP="00495553">
      <w:pPr>
        <w:spacing w:line="360" w:lineRule="auto"/>
        <w:jc w:val="both"/>
        <w:rPr>
          <w:rFonts w:ascii="Arial" w:hAnsi="Arial" w:cs="Arial"/>
          <w:sz w:val="14"/>
          <w:szCs w:val="14"/>
        </w:rPr>
      </w:pPr>
    </w:p>
    <w:p w14:paraId="77F842AD" w14:textId="03EAB6BD" w:rsidR="003913B4" w:rsidRPr="00BB7154" w:rsidRDefault="003913B4" w:rsidP="003913B4">
      <w:pPr>
        <w:pStyle w:val="Citadestacada"/>
        <w:widowControl w:val="0"/>
        <w:numPr>
          <w:ilvl w:val="2"/>
          <w:numId w:val="11"/>
        </w:numPr>
        <w:pBdr>
          <w:top w:val="none" w:sz="0" w:space="0" w:color="auto"/>
          <w:bottom w:val="single" w:sz="4" w:space="4" w:color="4F81BD"/>
        </w:pBdr>
        <w:suppressAutoHyphens/>
        <w:spacing w:before="200" w:after="280" w:line="276" w:lineRule="auto"/>
        <w:ind w:right="101"/>
        <w:jc w:val="right"/>
        <w:outlineLvl w:val="2"/>
        <w:rPr>
          <w:rFonts w:ascii="Arial" w:hAnsi="Arial" w:cs="Arial"/>
          <w:b/>
          <w:bCs/>
          <w:i w:val="0"/>
          <w:color w:val="002060"/>
        </w:rPr>
      </w:pPr>
      <w:bookmarkStart w:id="9" w:name="_Toc206540853"/>
      <w:r>
        <w:rPr>
          <w:rFonts w:ascii="Arial" w:hAnsi="Arial" w:cs="Arial"/>
          <w:b/>
          <w:bCs/>
          <w:i w:val="0"/>
          <w:color w:val="002060"/>
        </w:rPr>
        <w:t>Adquisición de Bienes y Servicios</w:t>
      </w:r>
      <w:bookmarkEnd w:id="9"/>
    </w:p>
    <w:p w14:paraId="03A383FC" w14:textId="0259BF11" w:rsidR="009A0AFF" w:rsidRPr="009A0AFF" w:rsidRDefault="009A0AFF" w:rsidP="003913B4">
      <w:pPr>
        <w:pStyle w:val="Prrafodelista"/>
        <w:numPr>
          <w:ilvl w:val="0"/>
          <w:numId w:val="21"/>
        </w:numPr>
        <w:spacing w:line="276" w:lineRule="auto"/>
        <w:jc w:val="both"/>
        <w:rPr>
          <w:rFonts w:ascii="Arial" w:eastAsia="Times New Roman" w:hAnsi="Arial" w:cs="Arial"/>
          <w:b/>
          <w:bCs/>
          <w:color w:val="000000"/>
          <w:kern w:val="0"/>
          <w:sz w:val="22"/>
          <w:szCs w:val="22"/>
          <w:lang w:eastAsia="es-CO"/>
          <w14:ligatures w14:val="none"/>
        </w:rPr>
      </w:pPr>
      <w:r w:rsidRPr="009A0AFF">
        <w:rPr>
          <w:rFonts w:ascii="Arial" w:eastAsia="Times New Roman" w:hAnsi="Arial" w:cs="Arial"/>
          <w:b/>
          <w:bCs/>
          <w:color w:val="000000"/>
          <w:kern w:val="0"/>
          <w:sz w:val="22"/>
          <w:szCs w:val="22"/>
          <w:lang w:eastAsia="es-CO"/>
          <w14:ligatures w14:val="none"/>
        </w:rPr>
        <w:t>Otros servicios profesionales, técnicos y empresariales N.C.P. - Servicios prestados a las empresas y servicios de producción</w:t>
      </w:r>
    </w:p>
    <w:p w14:paraId="321AAC64" w14:textId="77777777" w:rsidR="003913B4" w:rsidRPr="00495553" w:rsidRDefault="003913B4" w:rsidP="003913B4">
      <w:pPr>
        <w:spacing w:after="0" w:line="240" w:lineRule="auto"/>
        <w:jc w:val="both"/>
        <w:rPr>
          <w:rFonts w:ascii="Arial" w:hAnsi="Arial" w:cs="Arial"/>
        </w:rPr>
      </w:pPr>
    </w:p>
    <w:tbl>
      <w:tblPr>
        <w:tblW w:w="10905" w:type="dxa"/>
        <w:jc w:val="center"/>
        <w:tblCellMar>
          <w:left w:w="70" w:type="dxa"/>
          <w:right w:w="70" w:type="dxa"/>
        </w:tblCellMar>
        <w:tblLook w:val="04A0" w:firstRow="1" w:lastRow="0" w:firstColumn="1" w:lastColumn="0" w:noHBand="0" w:noVBand="1"/>
      </w:tblPr>
      <w:tblGrid>
        <w:gridCol w:w="2400"/>
        <w:gridCol w:w="1110"/>
        <w:gridCol w:w="1252"/>
        <w:gridCol w:w="896"/>
        <w:gridCol w:w="1110"/>
        <w:gridCol w:w="1252"/>
        <w:gridCol w:w="896"/>
        <w:gridCol w:w="997"/>
        <w:gridCol w:w="992"/>
      </w:tblGrid>
      <w:tr w:rsidR="009A0AFF" w:rsidRPr="00C05509" w14:paraId="45749270" w14:textId="77777777" w:rsidTr="00C05509">
        <w:trPr>
          <w:trHeight w:val="20"/>
          <w:jc w:val="center"/>
        </w:trPr>
        <w:tc>
          <w:tcPr>
            <w:tcW w:w="2400"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5BCAAB7C" w14:textId="2704E8D5"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Concepto</w:t>
            </w:r>
          </w:p>
        </w:tc>
        <w:tc>
          <w:tcPr>
            <w:tcW w:w="1110" w:type="dxa"/>
            <w:tcBorders>
              <w:top w:val="single" w:sz="8" w:space="0" w:color="auto"/>
              <w:left w:val="nil"/>
              <w:bottom w:val="single" w:sz="4" w:space="0" w:color="auto"/>
              <w:right w:val="single" w:sz="4" w:space="0" w:color="auto"/>
            </w:tcBorders>
            <w:shd w:val="clear" w:color="000000" w:fill="BDD6EE"/>
            <w:vAlign w:val="center"/>
            <w:hideMark/>
          </w:tcPr>
          <w:p w14:paraId="092192FC" w14:textId="74D0C787"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68108657" w14:textId="385D6C2A"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896" w:type="dxa"/>
            <w:vMerge w:val="restart"/>
            <w:tcBorders>
              <w:top w:val="single" w:sz="8" w:space="0" w:color="auto"/>
              <w:left w:val="single" w:sz="4" w:space="0" w:color="auto"/>
              <w:bottom w:val="single" w:sz="4" w:space="0" w:color="auto"/>
              <w:right w:val="nil"/>
            </w:tcBorders>
            <w:shd w:val="clear" w:color="000000" w:fill="BDD6EE"/>
            <w:vAlign w:val="center"/>
            <w:hideMark/>
          </w:tcPr>
          <w:p w14:paraId="5CFEABAB" w14:textId="14D58210"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110"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310CA6D3" w14:textId="27125920"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4D68AF1D" w14:textId="2EC67D0B"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4412C9CC" w14:textId="1A1F1170"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997"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1FD45DEB" w14:textId="7969DC2A"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992"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3123CCCD" w14:textId="6B9ED4B3"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9A0AFF" w:rsidRPr="00C05509" w14:paraId="22D646C1" w14:textId="77777777" w:rsidTr="00C05509">
        <w:trPr>
          <w:trHeight w:val="20"/>
          <w:jc w:val="center"/>
        </w:trPr>
        <w:tc>
          <w:tcPr>
            <w:tcW w:w="2400" w:type="dxa"/>
            <w:vMerge/>
            <w:tcBorders>
              <w:top w:val="single" w:sz="8" w:space="0" w:color="auto"/>
              <w:left w:val="single" w:sz="8" w:space="0" w:color="auto"/>
              <w:bottom w:val="single" w:sz="4" w:space="0" w:color="auto"/>
              <w:right w:val="single" w:sz="4" w:space="0" w:color="auto"/>
            </w:tcBorders>
            <w:vAlign w:val="center"/>
            <w:hideMark/>
          </w:tcPr>
          <w:p w14:paraId="2422B4D8"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nil"/>
              <w:bottom w:val="nil"/>
              <w:right w:val="single" w:sz="4" w:space="0" w:color="auto"/>
            </w:tcBorders>
            <w:shd w:val="clear" w:color="000000" w:fill="BDD6EE"/>
            <w:vAlign w:val="center"/>
            <w:hideMark/>
          </w:tcPr>
          <w:p w14:paraId="62809A5C" w14:textId="50290367"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7AAE97BB"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single" w:sz="4" w:space="0" w:color="auto"/>
              <w:bottom w:val="single" w:sz="4" w:space="0" w:color="auto"/>
              <w:right w:val="nil"/>
            </w:tcBorders>
            <w:vAlign w:val="center"/>
            <w:hideMark/>
          </w:tcPr>
          <w:p w14:paraId="16FFD8BF"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single" w:sz="4" w:space="0" w:color="auto"/>
              <w:bottom w:val="nil"/>
              <w:right w:val="single" w:sz="4" w:space="0" w:color="auto"/>
            </w:tcBorders>
            <w:shd w:val="clear" w:color="000000" w:fill="FFF2CC"/>
            <w:vAlign w:val="center"/>
            <w:hideMark/>
          </w:tcPr>
          <w:p w14:paraId="702ADBF2" w14:textId="1EA2D2DD" w:rsidR="009A0AFF" w:rsidRPr="00C05509"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3744B479"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61CC4C9D"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997" w:type="dxa"/>
            <w:vMerge/>
            <w:tcBorders>
              <w:top w:val="single" w:sz="8" w:space="0" w:color="auto"/>
              <w:left w:val="single" w:sz="4" w:space="0" w:color="auto"/>
              <w:bottom w:val="single" w:sz="4" w:space="0" w:color="auto"/>
              <w:right w:val="single" w:sz="4" w:space="0" w:color="auto"/>
            </w:tcBorders>
            <w:vAlign w:val="center"/>
            <w:hideMark/>
          </w:tcPr>
          <w:p w14:paraId="75A407E3"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992" w:type="dxa"/>
            <w:vMerge/>
            <w:tcBorders>
              <w:top w:val="single" w:sz="8" w:space="0" w:color="auto"/>
              <w:left w:val="single" w:sz="4" w:space="0" w:color="auto"/>
              <w:bottom w:val="single" w:sz="4" w:space="0" w:color="auto"/>
              <w:right w:val="single" w:sz="8" w:space="0" w:color="auto"/>
            </w:tcBorders>
            <w:vAlign w:val="center"/>
            <w:hideMark/>
          </w:tcPr>
          <w:p w14:paraId="30CF7C0A" w14:textId="77777777" w:rsidR="009A0AFF" w:rsidRPr="00C05509" w:rsidRDefault="009A0AFF" w:rsidP="009A0AFF">
            <w:pPr>
              <w:spacing w:after="0" w:line="240" w:lineRule="auto"/>
              <w:rPr>
                <w:rFonts w:ascii="Arial" w:eastAsia="Times New Roman" w:hAnsi="Arial" w:cs="Arial"/>
                <w:b/>
                <w:bCs/>
                <w:color w:val="000000"/>
                <w:kern w:val="0"/>
                <w:sz w:val="16"/>
                <w:szCs w:val="16"/>
                <w:lang w:eastAsia="es-CO"/>
                <w14:ligatures w14:val="none"/>
              </w:rPr>
            </w:pPr>
          </w:p>
        </w:tc>
      </w:tr>
      <w:tr w:rsidR="009A0AFF" w:rsidRPr="00C05509" w14:paraId="22EB66FF" w14:textId="77777777" w:rsidTr="00C05509">
        <w:trPr>
          <w:trHeight w:val="20"/>
          <w:jc w:val="center"/>
        </w:trPr>
        <w:tc>
          <w:tcPr>
            <w:tcW w:w="2400" w:type="dxa"/>
            <w:tcBorders>
              <w:top w:val="nil"/>
              <w:left w:val="single" w:sz="8" w:space="0" w:color="auto"/>
              <w:bottom w:val="single" w:sz="8" w:space="0" w:color="auto"/>
              <w:right w:val="single" w:sz="4" w:space="0" w:color="auto"/>
            </w:tcBorders>
            <w:vAlign w:val="center"/>
            <w:hideMark/>
          </w:tcPr>
          <w:p w14:paraId="116519A8" w14:textId="393CF36F" w:rsidR="009A0AFF" w:rsidRPr="00C05509" w:rsidRDefault="009A0AFF" w:rsidP="009A0AFF">
            <w:pPr>
              <w:spacing w:after="0" w:line="240" w:lineRule="auto"/>
              <w:jc w:val="both"/>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Otros servicios profesionales, técnicos y empresariales </w:t>
            </w:r>
            <w:proofErr w:type="spellStart"/>
            <w:r>
              <w:rPr>
                <w:rFonts w:ascii="Arial" w:hAnsi="Arial" w:cs="Arial"/>
                <w:color w:val="000000"/>
                <w:sz w:val="16"/>
                <w:szCs w:val="16"/>
              </w:rPr>
              <w:t>n.c.p</w:t>
            </w:r>
            <w:proofErr w:type="spellEnd"/>
            <w:r>
              <w:rPr>
                <w:rFonts w:ascii="Arial" w:hAnsi="Arial" w:cs="Arial"/>
                <w:color w:val="000000"/>
                <w:sz w:val="16"/>
                <w:szCs w:val="16"/>
              </w:rPr>
              <w:t xml:space="preserve">. - Servicios prestados a las empresas y servicios de producción </w:t>
            </w:r>
          </w:p>
        </w:tc>
        <w:tc>
          <w:tcPr>
            <w:tcW w:w="1110" w:type="dxa"/>
            <w:tcBorders>
              <w:top w:val="single" w:sz="4" w:space="0" w:color="auto"/>
              <w:left w:val="nil"/>
              <w:bottom w:val="single" w:sz="8" w:space="0" w:color="auto"/>
              <w:right w:val="single" w:sz="4" w:space="0" w:color="auto"/>
            </w:tcBorders>
            <w:noWrap/>
            <w:vAlign w:val="center"/>
            <w:hideMark/>
          </w:tcPr>
          <w:p w14:paraId="6E95F6B4" w14:textId="1219D7F1"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233.768.201</w:t>
            </w:r>
          </w:p>
        </w:tc>
        <w:tc>
          <w:tcPr>
            <w:tcW w:w="1252" w:type="dxa"/>
            <w:tcBorders>
              <w:top w:val="single" w:sz="4" w:space="0" w:color="auto"/>
              <w:left w:val="nil"/>
              <w:bottom w:val="single" w:sz="8" w:space="0" w:color="auto"/>
              <w:right w:val="single" w:sz="4" w:space="0" w:color="auto"/>
            </w:tcBorders>
            <w:noWrap/>
            <w:vAlign w:val="center"/>
            <w:hideMark/>
          </w:tcPr>
          <w:p w14:paraId="0A264BD5" w14:textId="6FAC0501"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219.823.648</w:t>
            </w:r>
          </w:p>
        </w:tc>
        <w:tc>
          <w:tcPr>
            <w:tcW w:w="896" w:type="dxa"/>
            <w:tcBorders>
              <w:top w:val="single" w:sz="4" w:space="0" w:color="auto"/>
              <w:left w:val="nil"/>
              <w:bottom w:val="single" w:sz="8" w:space="0" w:color="auto"/>
              <w:right w:val="single" w:sz="4" w:space="0" w:color="auto"/>
            </w:tcBorders>
            <w:noWrap/>
            <w:vAlign w:val="center"/>
            <w:hideMark/>
          </w:tcPr>
          <w:p w14:paraId="7A37E857" w14:textId="47B0B111"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94,03%</w:t>
            </w:r>
          </w:p>
        </w:tc>
        <w:tc>
          <w:tcPr>
            <w:tcW w:w="1110" w:type="dxa"/>
            <w:tcBorders>
              <w:top w:val="single" w:sz="4" w:space="0" w:color="auto"/>
              <w:left w:val="nil"/>
              <w:bottom w:val="single" w:sz="8" w:space="0" w:color="auto"/>
              <w:right w:val="single" w:sz="4" w:space="0" w:color="auto"/>
            </w:tcBorders>
            <w:noWrap/>
            <w:vAlign w:val="center"/>
            <w:hideMark/>
          </w:tcPr>
          <w:p w14:paraId="4DD95A20" w14:textId="02CFE209"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251.040.000</w:t>
            </w:r>
          </w:p>
        </w:tc>
        <w:tc>
          <w:tcPr>
            <w:tcW w:w="1252" w:type="dxa"/>
            <w:tcBorders>
              <w:top w:val="single" w:sz="4" w:space="0" w:color="auto"/>
              <w:left w:val="nil"/>
              <w:bottom w:val="single" w:sz="8" w:space="0" w:color="auto"/>
              <w:right w:val="single" w:sz="4" w:space="0" w:color="auto"/>
            </w:tcBorders>
            <w:noWrap/>
            <w:vAlign w:val="center"/>
            <w:hideMark/>
          </w:tcPr>
          <w:p w14:paraId="266355AB" w14:textId="534651BD"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249.791.665</w:t>
            </w:r>
          </w:p>
        </w:tc>
        <w:tc>
          <w:tcPr>
            <w:tcW w:w="896" w:type="dxa"/>
            <w:tcBorders>
              <w:top w:val="single" w:sz="4" w:space="0" w:color="auto"/>
              <w:left w:val="nil"/>
              <w:bottom w:val="single" w:sz="8" w:space="0" w:color="auto"/>
              <w:right w:val="single" w:sz="4" w:space="0" w:color="auto"/>
            </w:tcBorders>
            <w:noWrap/>
            <w:vAlign w:val="center"/>
            <w:hideMark/>
          </w:tcPr>
          <w:p w14:paraId="4BDA4501" w14:textId="53A1F283"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100%</w:t>
            </w:r>
          </w:p>
        </w:tc>
        <w:tc>
          <w:tcPr>
            <w:tcW w:w="997" w:type="dxa"/>
            <w:tcBorders>
              <w:top w:val="nil"/>
              <w:left w:val="nil"/>
              <w:bottom w:val="single" w:sz="8" w:space="0" w:color="auto"/>
              <w:right w:val="single" w:sz="4" w:space="0" w:color="auto"/>
            </w:tcBorders>
            <w:noWrap/>
            <w:vAlign w:val="center"/>
            <w:hideMark/>
          </w:tcPr>
          <w:p w14:paraId="0F9626EF" w14:textId="11223172"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-29.968.017</w:t>
            </w:r>
          </w:p>
        </w:tc>
        <w:tc>
          <w:tcPr>
            <w:tcW w:w="992" w:type="dxa"/>
            <w:tcBorders>
              <w:top w:val="nil"/>
              <w:left w:val="nil"/>
              <w:bottom w:val="single" w:sz="8" w:space="0" w:color="auto"/>
              <w:right w:val="single" w:sz="8" w:space="0" w:color="auto"/>
            </w:tcBorders>
            <w:noWrap/>
            <w:vAlign w:val="center"/>
            <w:hideMark/>
          </w:tcPr>
          <w:p w14:paraId="0E606410" w14:textId="21E41B6F" w:rsidR="009A0AFF" w:rsidRPr="00C05509"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-12,00%</w:t>
            </w:r>
          </w:p>
        </w:tc>
      </w:tr>
    </w:tbl>
    <w:p w14:paraId="4C9AA364" w14:textId="77777777" w:rsidR="00AE6F46" w:rsidRPr="00495553" w:rsidRDefault="00AE6F46" w:rsidP="00495553">
      <w:pPr>
        <w:spacing w:line="360" w:lineRule="auto"/>
        <w:jc w:val="both"/>
        <w:rPr>
          <w:rFonts w:ascii="Arial" w:hAnsi="Arial" w:cs="Arial"/>
        </w:rPr>
      </w:pPr>
    </w:p>
    <w:p w14:paraId="634AB1C9" w14:textId="77777777" w:rsidR="009A0AFF" w:rsidRPr="009A0AFF" w:rsidRDefault="009A0AFF" w:rsidP="009A0AFF">
      <w:pPr>
        <w:spacing w:line="360" w:lineRule="auto"/>
        <w:jc w:val="both"/>
        <w:rPr>
          <w:rFonts w:ascii="Arial" w:hAnsi="Arial" w:cs="Arial"/>
        </w:rPr>
      </w:pPr>
      <w:r w:rsidRPr="009A0AFF">
        <w:rPr>
          <w:rFonts w:ascii="Arial" w:hAnsi="Arial" w:cs="Arial"/>
        </w:rPr>
        <w:lastRenderedPageBreak/>
        <w:t xml:space="preserve">El análisis del rubro Otros servicios profesionales, técnicos y empresariales </w:t>
      </w:r>
      <w:proofErr w:type="spellStart"/>
      <w:r w:rsidRPr="009A0AFF">
        <w:rPr>
          <w:rFonts w:ascii="Arial" w:hAnsi="Arial" w:cs="Arial"/>
        </w:rPr>
        <w:t>n.c.p</w:t>
      </w:r>
      <w:proofErr w:type="spellEnd"/>
      <w:r w:rsidRPr="009A0AFF">
        <w:rPr>
          <w:rFonts w:ascii="Arial" w:hAnsi="Arial" w:cs="Arial"/>
        </w:rPr>
        <w:t>. – Servicios prestados a las empresas y servicios de producción muestra una reducción en la asignación presupuestal entre 2023 y 2024. Para 2023, el presupuesto definitivo fue de $251.040.000 con una ejecución del 100%, lo que refleja un uso pleno de los recursos. En 2024, el presupuesto definitivo fue de $233.768.201, presentando una disminución de $29.968.017 equivalente al -12%.</w:t>
      </w:r>
    </w:p>
    <w:p w14:paraId="4393554B" w14:textId="77777777" w:rsidR="009A0AFF" w:rsidRPr="009A0AFF" w:rsidRDefault="009A0AFF" w:rsidP="009A0AFF">
      <w:pPr>
        <w:spacing w:line="360" w:lineRule="auto"/>
        <w:jc w:val="both"/>
        <w:rPr>
          <w:rFonts w:ascii="Arial" w:hAnsi="Arial" w:cs="Arial"/>
        </w:rPr>
      </w:pPr>
      <w:r w:rsidRPr="009A0AFF">
        <w:rPr>
          <w:rFonts w:ascii="Arial" w:hAnsi="Arial" w:cs="Arial"/>
        </w:rPr>
        <w:t>A pesar de la reducción presupuestal, la ejecución en 2024 alcanzó $219.823.648, equivalente al 94,03%, lo que indica un desempeño adecuado y eficiente en el uso de los recursos asignados. Sin embargo, en comparación con el año anterior, se observa que, aunque se mantuvo un nivel alto de ejecución, este no llegó al 100% como en 2023.</w:t>
      </w:r>
    </w:p>
    <w:p w14:paraId="063BFFF5" w14:textId="3726004B" w:rsidR="009A0AFF" w:rsidRPr="009A0AFF" w:rsidRDefault="009A0AFF" w:rsidP="009A0AFF">
      <w:pPr>
        <w:spacing w:line="360" w:lineRule="auto"/>
        <w:jc w:val="both"/>
        <w:rPr>
          <w:rFonts w:ascii="Arial" w:hAnsi="Arial" w:cs="Arial"/>
        </w:rPr>
      </w:pPr>
      <w:r w:rsidRPr="009A0AFF">
        <w:rPr>
          <w:rFonts w:ascii="Arial" w:hAnsi="Arial" w:cs="Arial"/>
        </w:rPr>
        <w:t xml:space="preserve">Este comportamiento </w:t>
      </w:r>
      <w:r>
        <w:rPr>
          <w:rFonts w:ascii="Arial" w:hAnsi="Arial" w:cs="Arial"/>
        </w:rPr>
        <w:t>muestra</w:t>
      </w:r>
      <w:r w:rsidRPr="009A0AFF">
        <w:rPr>
          <w:rFonts w:ascii="Arial" w:hAnsi="Arial" w:cs="Arial"/>
        </w:rPr>
        <w:t xml:space="preserve"> un esfuerzo por racionalizar el gasto en este tipo de servicios, en concordancia con los principios de austeridad, garantizando al mismo tiempo el cumplimiento de los compromisos contractuales y operativos. La disminución del presupuesto </w:t>
      </w:r>
      <w:r>
        <w:rPr>
          <w:rFonts w:ascii="Arial" w:hAnsi="Arial" w:cs="Arial"/>
        </w:rPr>
        <w:t>obedece</w:t>
      </w:r>
      <w:r w:rsidRPr="009A0AFF">
        <w:rPr>
          <w:rFonts w:ascii="Arial" w:hAnsi="Arial" w:cs="Arial"/>
        </w:rPr>
        <w:t xml:space="preserve"> a ajustes en la contratación, lo que se traduce en un uso más controlado y focalizado de los servicios profesionales y técnicos.</w:t>
      </w:r>
    </w:p>
    <w:p w14:paraId="051660E1" w14:textId="77777777" w:rsidR="00AE6F46" w:rsidRDefault="00AE6F46" w:rsidP="003913B4">
      <w:pPr>
        <w:spacing w:after="0" w:line="240" w:lineRule="auto"/>
        <w:jc w:val="both"/>
        <w:rPr>
          <w:rFonts w:ascii="Arial" w:hAnsi="Arial" w:cs="Arial"/>
        </w:rPr>
      </w:pPr>
    </w:p>
    <w:p w14:paraId="501304B2" w14:textId="63ABE76C" w:rsidR="009A0AFF" w:rsidRPr="009A0AFF" w:rsidRDefault="009A0AFF" w:rsidP="003913B4">
      <w:pPr>
        <w:pStyle w:val="Prrafodelista"/>
        <w:numPr>
          <w:ilvl w:val="0"/>
          <w:numId w:val="21"/>
        </w:numPr>
        <w:spacing w:line="276" w:lineRule="auto"/>
        <w:jc w:val="both"/>
        <w:rPr>
          <w:rFonts w:ascii="Arial" w:eastAsia="Times New Roman" w:hAnsi="Arial" w:cs="Arial"/>
          <w:b/>
          <w:bCs/>
          <w:color w:val="000000"/>
          <w:kern w:val="0"/>
          <w:sz w:val="22"/>
          <w:szCs w:val="22"/>
          <w:lang w:eastAsia="es-CO"/>
          <w14:ligatures w14:val="none"/>
        </w:rPr>
      </w:pPr>
      <w:r w:rsidRPr="009A0AFF">
        <w:rPr>
          <w:rFonts w:ascii="Arial" w:eastAsia="Times New Roman" w:hAnsi="Arial" w:cs="Arial"/>
          <w:b/>
          <w:bCs/>
          <w:color w:val="000000"/>
          <w:kern w:val="0"/>
          <w:sz w:val="22"/>
          <w:szCs w:val="22"/>
          <w:lang w:eastAsia="es-CO"/>
          <w14:ligatures w14:val="none"/>
        </w:rPr>
        <w:t>Otros servicios jurídicos N.C.P. - Servicios prestados a las empresas y servicios de producción</w:t>
      </w:r>
    </w:p>
    <w:tbl>
      <w:tblPr>
        <w:tblW w:w="10525" w:type="dxa"/>
        <w:jc w:val="center"/>
        <w:tblCellMar>
          <w:left w:w="70" w:type="dxa"/>
          <w:right w:w="70" w:type="dxa"/>
        </w:tblCellMar>
        <w:tblLook w:val="04A0" w:firstRow="1" w:lastRow="0" w:firstColumn="1" w:lastColumn="0" w:noHBand="0" w:noVBand="1"/>
      </w:tblPr>
      <w:tblGrid>
        <w:gridCol w:w="2400"/>
        <w:gridCol w:w="1110"/>
        <w:gridCol w:w="1252"/>
        <w:gridCol w:w="896"/>
        <w:gridCol w:w="1110"/>
        <w:gridCol w:w="1252"/>
        <w:gridCol w:w="896"/>
        <w:gridCol w:w="941"/>
        <w:gridCol w:w="754"/>
      </w:tblGrid>
      <w:tr w:rsidR="009A0AFF" w:rsidRPr="003913B4" w14:paraId="6C60B176" w14:textId="77777777" w:rsidTr="009A0AFF">
        <w:trPr>
          <w:trHeight w:val="810"/>
          <w:jc w:val="center"/>
        </w:trPr>
        <w:tc>
          <w:tcPr>
            <w:tcW w:w="2400"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71E1C382" w14:textId="7573C55D"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Concepto</w:t>
            </w:r>
          </w:p>
        </w:tc>
        <w:tc>
          <w:tcPr>
            <w:tcW w:w="1110" w:type="dxa"/>
            <w:tcBorders>
              <w:top w:val="single" w:sz="8" w:space="0" w:color="auto"/>
              <w:left w:val="nil"/>
              <w:bottom w:val="single" w:sz="4" w:space="0" w:color="auto"/>
              <w:right w:val="single" w:sz="4" w:space="0" w:color="auto"/>
            </w:tcBorders>
            <w:shd w:val="clear" w:color="000000" w:fill="BDD6EE"/>
            <w:vAlign w:val="center"/>
            <w:hideMark/>
          </w:tcPr>
          <w:p w14:paraId="7D163774" w14:textId="1E3C8220"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585A4644" w14:textId="73E10829"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896" w:type="dxa"/>
            <w:vMerge w:val="restart"/>
            <w:tcBorders>
              <w:top w:val="single" w:sz="8" w:space="0" w:color="auto"/>
              <w:left w:val="single" w:sz="4" w:space="0" w:color="auto"/>
              <w:bottom w:val="single" w:sz="4" w:space="0" w:color="auto"/>
              <w:right w:val="nil"/>
            </w:tcBorders>
            <w:shd w:val="clear" w:color="000000" w:fill="BDD6EE"/>
            <w:vAlign w:val="center"/>
            <w:hideMark/>
          </w:tcPr>
          <w:p w14:paraId="1A46728D" w14:textId="5FD2418D"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110"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1BA54884" w14:textId="786D7BF4"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2EDBB9C2" w14:textId="7CFD0287"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3E721E18" w14:textId="4EBAF2D7"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55"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3AF957A9" w14:textId="0E1269E4"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754"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0AA4B92D" w14:textId="6D513EE2"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9A0AFF" w:rsidRPr="003913B4" w14:paraId="2F655F41" w14:textId="77777777" w:rsidTr="009A0AFF">
        <w:trPr>
          <w:trHeight w:val="288"/>
          <w:jc w:val="center"/>
        </w:trPr>
        <w:tc>
          <w:tcPr>
            <w:tcW w:w="2400" w:type="dxa"/>
            <w:vMerge/>
            <w:tcBorders>
              <w:top w:val="single" w:sz="8" w:space="0" w:color="auto"/>
              <w:left w:val="single" w:sz="8" w:space="0" w:color="auto"/>
              <w:bottom w:val="single" w:sz="4" w:space="0" w:color="auto"/>
              <w:right w:val="single" w:sz="4" w:space="0" w:color="auto"/>
            </w:tcBorders>
            <w:vAlign w:val="center"/>
            <w:hideMark/>
          </w:tcPr>
          <w:p w14:paraId="5484EBF5"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nil"/>
              <w:bottom w:val="nil"/>
              <w:right w:val="single" w:sz="4" w:space="0" w:color="auto"/>
            </w:tcBorders>
            <w:shd w:val="clear" w:color="000000" w:fill="BDD6EE"/>
            <w:vAlign w:val="center"/>
            <w:hideMark/>
          </w:tcPr>
          <w:p w14:paraId="0A5D0C05" w14:textId="7D8C8527"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2EA2D284"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single" w:sz="4" w:space="0" w:color="auto"/>
              <w:bottom w:val="single" w:sz="4" w:space="0" w:color="auto"/>
              <w:right w:val="nil"/>
            </w:tcBorders>
            <w:vAlign w:val="center"/>
            <w:hideMark/>
          </w:tcPr>
          <w:p w14:paraId="3772DC5C"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single" w:sz="4" w:space="0" w:color="auto"/>
              <w:bottom w:val="nil"/>
              <w:right w:val="single" w:sz="4" w:space="0" w:color="auto"/>
            </w:tcBorders>
            <w:shd w:val="clear" w:color="000000" w:fill="FFF2CC"/>
            <w:vAlign w:val="center"/>
            <w:hideMark/>
          </w:tcPr>
          <w:p w14:paraId="4C7C770F" w14:textId="4B18815B"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5DF058C8"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688AE4CB"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55" w:type="dxa"/>
            <w:vMerge/>
            <w:tcBorders>
              <w:top w:val="single" w:sz="8" w:space="0" w:color="auto"/>
              <w:left w:val="single" w:sz="4" w:space="0" w:color="auto"/>
              <w:bottom w:val="single" w:sz="4" w:space="0" w:color="auto"/>
              <w:right w:val="single" w:sz="4" w:space="0" w:color="auto"/>
            </w:tcBorders>
            <w:vAlign w:val="center"/>
            <w:hideMark/>
          </w:tcPr>
          <w:p w14:paraId="33782E6B"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754" w:type="dxa"/>
            <w:vMerge/>
            <w:tcBorders>
              <w:top w:val="single" w:sz="8" w:space="0" w:color="auto"/>
              <w:left w:val="single" w:sz="4" w:space="0" w:color="auto"/>
              <w:bottom w:val="single" w:sz="4" w:space="0" w:color="auto"/>
              <w:right w:val="single" w:sz="8" w:space="0" w:color="auto"/>
            </w:tcBorders>
            <w:vAlign w:val="center"/>
            <w:hideMark/>
          </w:tcPr>
          <w:p w14:paraId="24997D37"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r>
      <w:tr w:rsidR="009A0AFF" w:rsidRPr="003913B4" w14:paraId="2AAD047F" w14:textId="77777777" w:rsidTr="009A0AFF">
        <w:trPr>
          <w:trHeight w:val="696"/>
          <w:jc w:val="center"/>
        </w:trPr>
        <w:tc>
          <w:tcPr>
            <w:tcW w:w="2400" w:type="dxa"/>
            <w:tcBorders>
              <w:top w:val="nil"/>
              <w:left w:val="single" w:sz="8" w:space="0" w:color="auto"/>
              <w:bottom w:val="single" w:sz="8" w:space="0" w:color="auto"/>
              <w:right w:val="single" w:sz="4" w:space="0" w:color="auto"/>
            </w:tcBorders>
            <w:vAlign w:val="center"/>
            <w:hideMark/>
          </w:tcPr>
          <w:p w14:paraId="5F0403E6" w14:textId="311AA26C" w:rsidR="009A0AFF" w:rsidRPr="003913B4" w:rsidRDefault="009A0AFF" w:rsidP="009A0AFF">
            <w:pPr>
              <w:spacing w:after="0" w:line="240" w:lineRule="auto"/>
              <w:jc w:val="both"/>
              <w:rPr>
                <w:rFonts w:ascii="Arial" w:eastAsia="Times New Roman" w:hAnsi="Arial" w:cs="Arial"/>
                <w:color w:val="000000"/>
                <w:kern w:val="0"/>
                <w:sz w:val="18"/>
                <w:szCs w:val="18"/>
                <w:lang w:eastAsia="es-CO"/>
                <w14:ligatures w14:val="none"/>
              </w:rPr>
            </w:pPr>
            <w:r>
              <w:rPr>
                <w:rFonts w:ascii="Arial" w:hAnsi="Arial" w:cs="Arial"/>
                <w:color w:val="000000"/>
                <w:sz w:val="16"/>
                <w:szCs w:val="16"/>
              </w:rPr>
              <w:t xml:space="preserve">Otros servicios jurídicos </w:t>
            </w:r>
            <w:proofErr w:type="spellStart"/>
            <w:r>
              <w:rPr>
                <w:rFonts w:ascii="Arial" w:hAnsi="Arial" w:cs="Arial"/>
                <w:color w:val="000000"/>
                <w:sz w:val="16"/>
                <w:szCs w:val="16"/>
              </w:rPr>
              <w:t>n.c.p</w:t>
            </w:r>
            <w:proofErr w:type="spellEnd"/>
            <w:r>
              <w:rPr>
                <w:rFonts w:ascii="Arial" w:hAnsi="Arial" w:cs="Arial"/>
                <w:color w:val="000000"/>
                <w:sz w:val="16"/>
                <w:szCs w:val="16"/>
              </w:rPr>
              <w:t>. - Servicios prestados a las empresas y servicios de producción</w:t>
            </w:r>
          </w:p>
        </w:tc>
        <w:tc>
          <w:tcPr>
            <w:tcW w:w="1110" w:type="dxa"/>
            <w:tcBorders>
              <w:top w:val="single" w:sz="4" w:space="0" w:color="auto"/>
              <w:left w:val="nil"/>
              <w:bottom w:val="single" w:sz="8" w:space="0" w:color="auto"/>
              <w:right w:val="single" w:sz="4" w:space="0" w:color="auto"/>
            </w:tcBorders>
            <w:noWrap/>
            <w:vAlign w:val="center"/>
            <w:hideMark/>
          </w:tcPr>
          <w:p w14:paraId="38166CBE" w14:textId="58D708B0"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115.000.000</w:t>
            </w:r>
          </w:p>
        </w:tc>
        <w:tc>
          <w:tcPr>
            <w:tcW w:w="1252" w:type="dxa"/>
            <w:tcBorders>
              <w:top w:val="single" w:sz="4" w:space="0" w:color="auto"/>
              <w:left w:val="nil"/>
              <w:bottom w:val="single" w:sz="8" w:space="0" w:color="auto"/>
              <w:right w:val="single" w:sz="4" w:space="0" w:color="auto"/>
            </w:tcBorders>
            <w:noWrap/>
            <w:vAlign w:val="center"/>
            <w:hideMark/>
          </w:tcPr>
          <w:p w14:paraId="4F5674DD" w14:textId="440547D2"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110.085.334</w:t>
            </w:r>
          </w:p>
        </w:tc>
        <w:tc>
          <w:tcPr>
            <w:tcW w:w="896" w:type="dxa"/>
            <w:tcBorders>
              <w:top w:val="single" w:sz="4" w:space="0" w:color="auto"/>
              <w:left w:val="nil"/>
              <w:bottom w:val="single" w:sz="8" w:space="0" w:color="auto"/>
              <w:right w:val="single" w:sz="4" w:space="0" w:color="auto"/>
            </w:tcBorders>
            <w:noWrap/>
            <w:vAlign w:val="center"/>
            <w:hideMark/>
          </w:tcPr>
          <w:p w14:paraId="42CE12D5" w14:textId="5312C1BD"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95,73%</w:t>
            </w:r>
          </w:p>
        </w:tc>
        <w:tc>
          <w:tcPr>
            <w:tcW w:w="1110" w:type="dxa"/>
            <w:tcBorders>
              <w:top w:val="single" w:sz="4" w:space="0" w:color="auto"/>
              <w:left w:val="nil"/>
              <w:bottom w:val="single" w:sz="8" w:space="0" w:color="auto"/>
              <w:right w:val="single" w:sz="4" w:space="0" w:color="auto"/>
            </w:tcBorders>
            <w:noWrap/>
            <w:vAlign w:val="center"/>
            <w:hideMark/>
          </w:tcPr>
          <w:p w14:paraId="76B55955" w14:textId="29B08432"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112.860.000</w:t>
            </w:r>
          </w:p>
        </w:tc>
        <w:tc>
          <w:tcPr>
            <w:tcW w:w="1252" w:type="dxa"/>
            <w:tcBorders>
              <w:top w:val="single" w:sz="4" w:space="0" w:color="auto"/>
              <w:left w:val="nil"/>
              <w:bottom w:val="single" w:sz="8" w:space="0" w:color="auto"/>
              <w:right w:val="single" w:sz="4" w:space="0" w:color="auto"/>
            </w:tcBorders>
            <w:noWrap/>
            <w:vAlign w:val="center"/>
            <w:hideMark/>
          </w:tcPr>
          <w:p w14:paraId="2630F78F" w14:textId="7D398ECD"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94.300.000</w:t>
            </w:r>
          </w:p>
        </w:tc>
        <w:tc>
          <w:tcPr>
            <w:tcW w:w="896" w:type="dxa"/>
            <w:tcBorders>
              <w:top w:val="single" w:sz="4" w:space="0" w:color="auto"/>
              <w:left w:val="nil"/>
              <w:bottom w:val="single" w:sz="8" w:space="0" w:color="auto"/>
              <w:right w:val="single" w:sz="4" w:space="0" w:color="auto"/>
            </w:tcBorders>
            <w:noWrap/>
            <w:vAlign w:val="center"/>
            <w:hideMark/>
          </w:tcPr>
          <w:p w14:paraId="3F95EF28" w14:textId="3AAC8598"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84%</w:t>
            </w:r>
          </w:p>
        </w:tc>
        <w:tc>
          <w:tcPr>
            <w:tcW w:w="855" w:type="dxa"/>
            <w:tcBorders>
              <w:top w:val="nil"/>
              <w:left w:val="nil"/>
              <w:bottom w:val="single" w:sz="8" w:space="0" w:color="auto"/>
              <w:right w:val="single" w:sz="4" w:space="0" w:color="auto"/>
            </w:tcBorders>
            <w:noWrap/>
            <w:vAlign w:val="center"/>
            <w:hideMark/>
          </w:tcPr>
          <w:p w14:paraId="7604B2EF" w14:textId="69DFAE63"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15.785.334</w:t>
            </w:r>
          </w:p>
        </w:tc>
        <w:tc>
          <w:tcPr>
            <w:tcW w:w="754" w:type="dxa"/>
            <w:tcBorders>
              <w:top w:val="nil"/>
              <w:left w:val="nil"/>
              <w:bottom w:val="single" w:sz="8" w:space="0" w:color="auto"/>
              <w:right w:val="single" w:sz="8" w:space="0" w:color="auto"/>
            </w:tcBorders>
            <w:noWrap/>
            <w:vAlign w:val="center"/>
            <w:hideMark/>
          </w:tcPr>
          <w:p w14:paraId="2D518020" w14:textId="2C00FFAF"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16,74%</w:t>
            </w:r>
          </w:p>
        </w:tc>
      </w:tr>
    </w:tbl>
    <w:p w14:paraId="0381806E" w14:textId="77777777" w:rsidR="00AE6F46" w:rsidRPr="003913B4" w:rsidRDefault="00AE6F46" w:rsidP="002D5914">
      <w:pPr>
        <w:spacing w:line="360" w:lineRule="auto"/>
        <w:ind w:left="207"/>
        <w:jc w:val="both"/>
        <w:rPr>
          <w:rFonts w:ascii="Arial" w:hAnsi="Arial" w:cs="Arial"/>
          <w:sz w:val="14"/>
          <w:szCs w:val="14"/>
        </w:rPr>
      </w:pPr>
    </w:p>
    <w:p w14:paraId="7A518D6A" w14:textId="77777777" w:rsidR="009A0AFF" w:rsidRPr="009A0AFF" w:rsidRDefault="009A0AFF" w:rsidP="009A0AFF">
      <w:pPr>
        <w:spacing w:line="360" w:lineRule="auto"/>
        <w:jc w:val="both"/>
        <w:rPr>
          <w:rFonts w:ascii="Arial" w:hAnsi="Arial" w:cs="Arial"/>
          <w:lang w:eastAsia="es-CO"/>
        </w:rPr>
      </w:pPr>
      <w:r w:rsidRPr="009A0AFF">
        <w:rPr>
          <w:rFonts w:ascii="Arial" w:hAnsi="Arial" w:cs="Arial"/>
          <w:lang w:eastAsia="es-CO"/>
        </w:rPr>
        <w:t xml:space="preserve">El rubro Otros servicios jurídicos </w:t>
      </w:r>
      <w:proofErr w:type="spellStart"/>
      <w:r w:rsidRPr="009A0AFF">
        <w:rPr>
          <w:rFonts w:ascii="Arial" w:hAnsi="Arial" w:cs="Arial"/>
          <w:lang w:eastAsia="es-CO"/>
        </w:rPr>
        <w:t>n.c.p</w:t>
      </w:r>
      <w:proofErr w:type="spellEnd"/>
      <w:r w:rsidRPr="009A0AFF">
        <w:rPr>
          <w:rFonts w:ascii="Arial" w:hAnsi="Arial" w:cs="Arial"/>
          <w:lang w:eastAsia="es-CO"/>
        </w:rPr>
        <w:t>. – Servicios prestados a las empresas y servicios de producción evidencia un comportamiento positivo en la vigencia 2024 frente a 2023. El presupuesto definitivo pasó de $112.860.000 en 2023 a $115.000.000 en 2024, con un leve incremento del 1,89%. La ejecución en 2024 alcanzó $110.085.334, lo que representa un cumplimiento del 95,73%, superior al 84% registrado en 2023, cuando se ejecutaron $94.300.000.</w:t>
      </w:r>
    </w:p>
    <w:p w14:paraId="25AB1EA2" w14:textId="77777777" w:rsidR="009A0AFF" w:rsidRPr="009A0AFF" w:rsidRDefault="009A0AFF" w:rsidP="009A0AFF">
      <w:pPr>
        <w:spacing w:line="360" w:lineRule="auto"/>
        <w:jc w:val="both"/>
        <w:rPr>
          <w:rFonts w:ascii="Arial" w:hAnsi="Arial" w:cs="Arial"/>
          <w:lang w:eastAsia="es-CO"/>
        </w:rPr>
      </w:pPr>
      <w:r w:rsidRPr="009A0AFF">
        <w:rPr>
          <w:rFonts w:ascii="Arial" w:hAnsi="Arial" w:cs="Arial"/>
          <w:lang w:eastAsia="es-CO"/>
        </w:rPr>
        <w:t>La variación absoluta de $15.785.334 refleja un crecimiento del 16,74% en los recursos efectivamente ejecutados respecto al año anterior. Este resultado muestra un fortalecimiento en la contratación de servicios jurídicos, garantizando un nivel de ejecución más alto y un mejor aprovechamiento de los recursos asignados.</w:t>
      </w:r>
    </w:p>
    <w:p w14:paraId="06CB3B96" w14:textId="08088A70" w:rsidR="003913B4" w:rsidRDefault="009A0AFF" w:rsidP="009A0AFF">
      <w:pPr>
        <w:spacing w:line="360" w:lineRule="auto"/>
        <w:jc w:val="both"/>
        <w:rPr>
          <w:rFonts w:ascii="Arial" w:eastAsia="Times New Roman" w:hAnsi="Arial" w:cs="Arial"/>
          <w:color w:val="000000"/>
          <w:kern w:val="0"/>
          <w:sz w:val="16"/>
          <w:szCs w:val="16"/>
          <w:lang w:eastAsia="es-CO"/>
          <w14:ligatures w14:val="none"/>
        </w:rPr>
      </w:pPr>
      <w:r w:rsidRPr="009A0AFF">
        <w:rPr>
          <w:rFonts w:ascii="Arial" w:hAnsi="Arial" w:cs="Arial"/>
          <w:lang w:eastAsia="es-CO"/>
        </w:rPr>
        <w:lastRenderedPageBreak/>
        <w:t>El desempeño de este rubro indica una gestión eficiente y controlada, donde se logra ejecutar la mayoría de los recursos presupuestados, contribuyendo al aseguramiento de la defensa jurídica, la gestión contractual y el soporte legal de la entidad. Además, evidencia que los ajustes presupuestales realizados fueron adecuados para cubrir las necesidades institucionales sin generar sobrecostos ni subejecuciones significativas.</w:t>
      </w:r>
    </w:p>
    <w:p w14:paraId="74D474FD" w14:textId="66A2501E" w:rsidR="009A0AFF" w:rsidRPr="009A0AFF" w:rsidRDefault="009A0AFF" w:rsidP="003913B4">
      <w:pPr>
        <w:pStyle w:val="Prrafodelista"/>
        <w:numPr>
          <w:ilvl w:val="0"/>
          <w:numId w:val="21"/>
        </w:numPr>
        <w:spacing w:line="276" w:lineRule="auto"/>
        <w:jc w:val="both"/>
        <w:rPr>
          <w:rFonts w:ascii="Arial" w:eastAsia="Times New Roman" w:hAnsi="Arial" w:cs="Arial"/>
          <w:b/>
          <w:bCs/>
          <w:color w:val="000000"/>
          <w:kern w:val="0"/>
          <w:sz w:val="22"/>
          <w:szCs w:val="22"/>
          <w:lang w:eastAsia="es-CO"/>
          <w14:ligatures w14:val="none"/>
        </w:rPr>
      </w:pPr>
      <w:r w:rsidRPr="009A0AFF">
        <w:rPr>
          <w:rFonts w:ascii="Arial" w:eastAsia="Times New Roman" w:hAnsi="Arial" w:cs="Arial"/>
          <w:b/>
          <w:bCs/>
          <w:color w:val="000000"/>
          <w:kern w:val="0"/>
          <w:sz w:val="22"/>
          <w:szCs w:val="22"/>
          <w:lang w:eastAsia="es-CO"/>
          <w14:ligatures w14:val="none"/>
        </w:rPr>
        <w:t>Otros servicios profesionales, técnicos y empresariales N.C.P. - Documentos de planeación - Apoyo a la planificación, desarrollo y promoción de procesos, proyectos y tanques de pensamiento en logística e infraestructura en la RAP EC - Servicios prestado</w:t>
      </w:r>
    </w:p>
    <w:tbl>
      <w:tblPr>
        <w:tblW w:w="10809" w:type="dxa"/>
        <w:jc w:val="center"/>
        <w:tblCellMar>
          <w:left w:w="70" w:type="dxa"/>
          <w:right w:w="70" w:type="dxa"/>
        </w:tblCellMar>
        <w:tblLook w:val="04A0" w:firstRow="1" w:lastRow="0" w:firstColumn="1" w:lastColumn="0" w:noHBand="0" w:noVBand="1"/>
      </w:tblPr>
      <w:tblGrid>
        <w:gridCol w:w="2117"/>
        <w:gridCol w:w="1417"/>
        <w:gridCol w:w="1276"/>
        <w:gridCol w:w="992"/>
        <w:gridCol w:w="1110"/>
        <w:gridCol w:w="1252"/>
        <w:gridCol w:w="896"/>
        <w:gridCol w:w="1030"/>
        <w:gridCol w:w="772"/>
      </w:tblGrid>
      <w:tr w:rsidR="009A0AFF" w:rsidRPr="003913B4" w14:paraId="38EA57D8" w14:textId="77777777" w:rsidTr="003913B4">
        <w:trPr>
          <w:trHeight w:val="570"/>
          <w:jc w:val="center"/>
        </w:trPr>
        <w:tc>
          <w:tcPr>
            <w:tcW w:w="2117"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326B6E5C" w14:textId="2F883073"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Concepto</w:t>
            </w:r>
          </w:p>
        </w:tc>
        <w:tc>
          <w:tcPr>
            <w:tcW w:w="1417" w:type="dxa"/>
            <w:tcBorders>
              <w:top w:val="single" w:sz="8" w:space="0" w:color="auto"/>
              <w:left w:val="nil"/>
              <w:bottom w:val="single" w:sz="4" w:space="0" w:color="auto"/>
              <w:right w:val="single" w:sz="4" w:space="0" w:color="auto"/>
            </w:tcBorders>
            <w:shd w:val="clear" w:color="000000" w:fill="BDD6EE"/>
            <w:vAlign w:val="center"/>
            <w:hideMark/>
          </w:tcPr>
          <w:p w14:paraId="5E757AC3" w14:textId="18DB9817"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76"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5BF385A5" w14:textId="64E4DB1D"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992" w:type="dxa"/>
            <w:vMerge w:val="restart"/>
            <w:tcBorders>
              <w:top w:val="single" w:sz="8" w:space="0" w:color="auto"/>
              <w:left w:val="single" w:sz="4" w:space="0" w:color="auto"/>
              <w:bottom w:val="single" w:sz="4" w:space="0" w:color="auto"/>
              <w:right w:val="nil"/>
            </w:tcBorders>
            <w:shd w:val="clear" w:color="000000" w:fill="BDD6EE"/>
            <w:vAlign w:val="center"/>
            <w:hideMark/>
          </w:tcPr>
          <w:p w14:paraId="285AFFFB" w14:textId="12027C15"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110"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461B0F62" w14:textId="486E0422"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1729FC38" w14:textId="301EDD5A"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40BDAD1C" w14:textId="4CC4CB84"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995"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47A6F0ED" w14:textId="53D25778"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754"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6A758132" w14:textId="0C9520E5"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9A0AFF" w:rsidRPr="003913B4" w14:paraId="572610FE" w14:textId="77777777" w:rsidTr="003913B4">
        <w:trPr>
          <w:trHeight w:val="288"/>
          <w:jc w:val="center"/>
        </w:trPr>
        <w:tc>
          <w:tcPr>
            <w:tcW w:w="2117" w:type="dxa"/>
            <w:vMerge/>
            <w:tcBorders>
              <w:top w:val="single" w:sz="8" w:space="0" w:color="auto"/>
              <w:left w:val="single" w:sz="8" w:space="0" w:color="auto"/>
              <w:bottom w:val="single" w:sz="4" w:space="0" w:color="auto"/>
              <w:right w:val="single" w:sz="4" w:space="0" w:color="auto"/>
            </w:tcBorders>
            <w:vAlign w:val="center"/>
            <w:hideMark/>
          </w:tcPr>
          <w:p w14:paraId="1138DCE7"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417" w:type="dxa"/>
            <w:tcBorders>
              <w:top w:val="nil"/>
              <w:left w:val="nil"/>
              <w:bottom w:val="nil"/>
              <w:right w:val="single" w:sz="4" w:space="0" w:color="auto"/>
            </w:tcBorders>
            <w:shd w:val="clear" w:color="000000" w:fill="BDD6EE"/>
            <w:vAlign w:val="center"/>
            <w:hideMark/>
          </w:tcPr>
          <w:p w14:paraId="4D7F3ED1" w14:textId="51E4AAA2"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76" w:type="dxa"/>
            <w:vMerge/>
            <w:tcBorders>
              <w:top w:val="single" w:sz="8" w:space="0" w:color="auto"/>
              <w:left w:val="single" w:sz="4" w:space="0" w:color="auto"/>
              <w:bottom w:val="single" w:sz="4" w:space="0" w:color="auto"/>
              <w:right w:val="single" w:sz="4" w:space="0" w:color="auto"/>
            </w:tcBorders>
            <w:vAlign w:val="center"/>
            <w:hideMark/>
          </w:tcPr>
          <w:p w14:paraId="2599BAE8"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992" w:type="dxa"/>
            <w:vMerge/>
            <w:tcBorders>
              <w:top w:val="single" w:sz="8" w:space="0" w:color="auto"/>
              <w:left w:val="single" w:sz="4" w:space="0" w:color="auto"/>
              <w:bottom w:val="single" w:sz="4" w:space="0" w:color="auto"/>
              <w:right w:val="nil"/>
            </w:tcBorders>
            <w:vAlign w:val="center"/>
            <w:hideMark/>
          </w:tcPr>
          <w:p w14:paraId="15A42E1A"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single" w:sz="4" w:space="0" w:color="auto"/>
              <w:bottom w:val="nil"/>
              <w:right w:val="single" w:sz="4" w:space="0" w:color="auto"/>
            </w:tcBorders>
            <w:shd w:val="clear" w:color="000000" w:fill="FFF2CC"/>
            <w:vAlign w:val="center"/>
            <w:hideMark/>
          </w:tcPr>
          <w:p w14:paraId="56894A6D" w14:textId="70E7D585" w:rsidR="009A0AFF" w:rsidRPr="003913B4"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6BF90D2A"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4C7AEEBB"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995" w:type="dxa"/>
            <w:vMerge/>
            <w:tcBorders>
              <w:top w:val="single" w:sz="8" w:space="0" w:color="auto"/>
              <w:left w:val="single" w:sz="4" w:space="0" w:color="auto"/>
              <w:bottom w:val="single" w:sz="4" w:space="0" w:color="auto"/>
              <w:right w:val="single" w:sz="4" w:space="0" w:color="auto"/>
            </w:tcBorders>
            <w:vAlign w:val="center"/>
            <w:hideMark/>
          </w:tcPr>
          <w:p w14:paraId="23255A1F"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754" w:type="dxa"/>
            <w:vMerge/>
            <w:tcBorders>
              <w:top w:val="single" w:sz="8" w:space="0" w:color="auto"/>
              <w:left w:val="single" w:sz="4" w:space="0" w:color="auto"/>
              <w:bottom w:val="single" w:sz="4" w:space="0" w:color="auto"/>
              <w:right w:val="single" w:sz="8" w:space="0" w:color="auto"/>
            </w:tcBorders>
            <w:vAlign w:val="center"/>
            <w:hideMark/>
          </w:tcPr>
          <w:p w14:paraId="6AFF1719" w14:textId="77777777" w:rsidR="009A0AFF" w:rsidRPr="003913B4" w:rsidRDefault="009A0AFF" w:rsidP="009A0AFF">
            <w:pPr>
              <w:spacing w:after="0" w:line="240" w:lineRule="auto"/>
              <w:rPr>
                <w:rFonts w:ascii="Arial" w:eastAsia="Times New Roman" w:hAnsi="Arial" w:cs="Arial"/>
                <w:b/>
                <w:bCs/>
                <w:color w:val="000000"/>
                <w:kern w:val="0"/>
                <w:sz w:val="16"/>
                <w:szCs w:val="16"/>
                <w:lang w:eastAsia="es-CO"/>
                <w14:ligatures w14:val="none"/>
              </w:rPr>
            </w:pPr>
          </w:p>
        </w:tc>
      </w:tr>
      <w:tr w:rsidR="009A0AFF" w:rsidRPr="003913B4" w14:paraId="378C0D7E" w14:textId="77777777" w:rsidTr="003913B4">
        <w:trPr>
          <w:trHeight w:val="696"/>
          <w:jc w:val="center"/>
        </w:trPr>
        <w:tc>
          <w:tcPr>
            <w:tcW w:w="2117" w:type="dxa"/>
            <w:tcBorders>
              <w:top w:val="nil"/>
              <w:left w:val="single" w:sz="8" w:space="0" w:color="auto"/>
              <w:bottom w:val="single" w:sz="8" w:space="0" w:color="auto"/>
              <w:right w:val="single" w:sz="4" w:space="0" w:color="auto"/>
            </w:tcBorders>
            <w:vAlign w:val="center"/>
            <w:hideMark/>
          </w:tcPr>
          <w:p w14:paraId="6A66C44D" w14:textId="0EFDDDBE" w:rsidR="009A0AFF" w:rsidRPr="003913B4" w:rsidRDefault="009A0AFF" w:rsidP="009A0AFF">
            <w:pPr>
              <w:spacing w:after="0" w:line="240" w:lineRule="auto"/>
              <w:jc w:val="both"/>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Otros servicios profesionales, técnicos y empresariales </w:t>
            </w:r>
            <w:proofErr w:type="spellStart"/>
            <w:r>
              <w:rPr>
                <w:rFonts w:ascii="Arial" w:hAnsi="Arial" w:cs="Arial"/>
                <w:color w:val="000000"/>
                <w:sz w:val="16"/>
                <w:szCs w:val="16"/>
              </w:rPr>
              <w:t>n.c.p</w:t>
            </w:r>
            <w:proofErr w:type="spellEnd"/>
            <w:r>
              <w:rPr>
                <w:rFonts w:ascii="Arial" w:hAnsi="Arial" w:cs="Arial"/>
                <w:color w:val="000000"/>
                <w:sz w:val="16"/>
                <w:szCs w:val="16"/>
              </w:rPr>
              <w:t>. - Documentos de planeación - Apoyo a la planificación, desarrollo y promoción de procesos, proyectos y tanques de pensamiento en logística e infraestructura en la RAP EC - Servicios prestado</w:t>
            </w:r>
          </w:p>
        </w:tc>
        <w:tc>
          <w:tcPr>
            <w:tcW w:w="1417" w:type="dxa"/>
            <w:tcBorders>
              <w:top w:val="single" w:sz="4" w:space="0" w:color="auto"/>
              <w:left w:val="nil"/>
              <w:bottom w:val="single" w:sz="8" w:space="0" w:color="auto"/>
              <w:right w:val="single" w:sz="4" w:space="0" w:color="auto"/>
            </w:tcBorders>
            <w:shd w:val="clear" w:color="000000" w:fill="FFFFFF"/>
            <w:noWrap/>
            <w:vAlign w:val="center"/>
            <w:hideMark/>
          </w:tcPr>
          <w:p w14:paraId="0385AA9F" w14:textId="2DA7B82D"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190.000.000</w:t>
            </w:r>
          </w:p>
        </w:tc>
        <w:tc>
          <w:tcPr>
            <w:tcW w:w="1276" w:type="dxa"/>
            <w:tcBorders>
              <w:top w:val="single" w:sz="4" w:space="0" w:color="auto"/>
              <w:left w:val="nil"/>
              <w:bottom w:val="single" w:sz="8" w:space="0" w:color="auto"/>
              <w:right w:val="single" w:sz="4" w:space="0" w:color="auto"/>
            </w:tcBorders>
            <w:shd w:val="clear" w:color="000000" w:fill="FFFFFF"/>
            <w:noWrap/>
            <w:vAlign w:val="center"/>
            <w:hideMark/>
          </w:tcPr>
          <w:p w14:paraId="39EF57C6" w14:textId="4CEAD760"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187.618.244</w:t>
            </w:r>
          </w:p>
        </w:tc>
        <w:tc>
          <w:tcPr>
            <w:tcW w:w="992" w:type="dxa"/>
            <w:tcBorders>
              <w:top w:val="single" w:sz="4" w:space="0" w:color="auto"/>
              <w:left w:val="nil"/>
              <w:bottom w:val="single" w:sz="8" w:space="0" w:color="auto"/>
              <w:right w:val="single" w:sz="4" w:space="0" w:color="auto"/>
            </w:tcBorders>
            <w:noWrap/>
            <w:vAlign w:val="center"/>
            <w:hideMark/>
          </w:tcPr>
          <w:p w14:paraId="2E0721BF" w14:textId="302395D9"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98,75%</w:t>
            </w:r>
          </w:p>
        </w:tc>
        <w:tc>
          <w:tcPr>
            <w:tcW w:w="1110" w:type="dxa"/>
            <w:tcBorders>
              <w:top w:val="single" w:sz="4" w:space="0" w:color="auto"/>
              <w:left w:val="nil"/>
              <w:bottom w:val="single" w:sz="8" w:space="0" w:color="auto"/>
              <w:right w:val="single" w:sz="4" w:space="0" w:color="auto"/>
            </w:tcBorders>
            <w:noWrap/>
            <w:vAlign w:val="center"/>
            <w:hideMark/>
          </w:tcPr>
          <w:p w14:paraId="62A6558E" w14:textId="70957187"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50.000.000</w:t>
            </w:r>
          </w:p>
        </w:tc>
        <w:tc>
          <w:tcPr>
            <w:tcW w:w="1252" w:type="dxa"/>
            <w:tcBorders>
              <w:top w:val="single" w:sz="4" w:space="0" w:color="auto"/>
              <w:left w:val="nil"/>
              <w:bottom w:val="single" w:sz="8" w:space="0" w:color="auto"/>
              <w:right w:val="single" w:sz="4" w:space="0" w:color="auto"/>
            </w:tcBorders>
            <w:noWrap/>
            <w:vAlign w:val="center"/>
            <w:hideMark/>
          </w:tcPr>
          <w:p w14:paraId="222D1921" w14:textId="6B37E6E1"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28.000.000</w:t>
            </w:r>
          </w:p>
        </w:tc>
        <w:tc>
          <w:tcPr>
            <w:tcW w:w="896" w:type="dxa"/>
            <w:tcBorders>
              <w:top w:val="single" w:sz="4" w:space="0" w:color="auto"/>
              <w:left w:val="nil"/>
              <w:bottom w:val="single" w:sz="8" w:space="0" w:color="auto"/>
              <w:right w:val="single" w:sz="4" w:space="0" w:color="auto"/>
            </w:tcBorders>
            <w:noWrap/>
            <w:vAlign w:val="center"/>
            <w:hideMark/>
          </w:tcPr>
          <w:p w14:paraId="3729DA16" w14:textId="75394092"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56%</w:t>
            </w:r>
          </w:p>
        </w:tc>
        <w:tc>
          <w:tcPr>
            <w:tcW w:w="995" w:type="dxa"/>
            <w:tcBorders>
              <w:top w:val="nil"/>
              <w:left w:val="nil"/>
              <w:bottom w:val="single" w:sz="8" w:space="0" w:color="auto"/>
              <w:right w:val="single" w:sz="4" w:space="0" w:color="auto"/>
            </w:tcBorders>
            <w:noWrap/>
            <w:vAlign w:val="center"/>
            <w:hideMark/>
          </w:tcPr>
          <w:p w14:paraId="5BA04253" w14:textId="32EDB2C0"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159.618.244</w:t>
            </w:r>
          </w:p>
        </w:tc>
        <w:tc>
          <w:tcPr>
            <w:tcW w:w="754" w:type="dxa"/>
            <w:tcBorders>
              <w:top w:val="nil"/>
              <w:left w:val="nil"/>
              <w:bottom w:val="single" w:sz="8" w:space="0" w:color="auto"/>
              <w:right w:val="single" w:sz="8" w:space="0" w:color="auto"/>
            </w:tcBorders>
            <w:noWrap/>
            <w:vAlign w:val="center"/>
            <w:hideMark/>
          </w:tcPr>
          <w:p w14:paraId="2E1D5D2B" w14:textId="6D2C1FEE" w:rsidR="009A0AFF" w:rsidRPr="003913B4"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570,07%</w:t>
            </w:r>
          </w:p>
        </w:tc>
      </w:tr>
    </w:tbl>
    <w:p w14:paraId="5905CD20" w14:textId="77777777" w:rsidR="003913B4" w:rsidRPr="003913B4" w:rsidRDefault="003913B4" w:rsidP="002D5914">
      <w:pPr>
        <w:spacing w:line="360" w:lineRule="auto"/>
        <w:ind w:left="207"/>
        <w:jc w:val="both"/>
        <w:rPr>
          <w:rFonts w:ascii="Arial" w:hAnsi="Arial" w:cs="Arial"/>
          <w:sz w:val="12"/>
          <w:szCs w:val="12"/>
        </w:rPr>
      </w:pPr>
    </w:p>
    <w:p w14:paraId="40C1AD4D" w14:textId="77777777" w:rsidR="009A0AFF" w:rsidRPr="009A0AFF" w:rsidRDefault="009A0AFF" w:rsidP="009A0AFF">
      <w:pPr>
        <w:spacing w:line="360" w:lineRule="auto"/>
        <w:jc w:val="both"/>
        <w:rPr>
          <w:rFonts w:ascii="Arial" w:hAnsi="Arial" w:cs="Arial"/>
        </w:rPr>
      </w:pPr>
      <w:r w:rsidRPr="009A0AFF">
        <w:rPr>
          <w:rFonts w:ascii="Arial" w:hAnsi="Arial" w:cs="Arial"/>
        </w:rPr>
        <w:t xml:space="preserve">El rubro Otros servicios profesionales, técnicos y empresariales </w:t>
      </w:r>
      <w:proofErr w:type="spellStart"/>
      <w:r w:rsidRPr="009A0AFF">
        <w:rPr>
          <w:rFonts w:ascii="Arial" w:hAnsi="Arial" w:cs="Arial"/>
        </w:rPr>
        <w:t>n.c.p</w:t>
      </w:r>
      <w:proofErr w:type="spellEnd"/>
      <w:r w:rsidRPr="009A0AFF">
        <w:rPr>
          <w:rFonts w:ascii="Arial" w:hAnsi="Arial" w:cs="Arial"/>
        </w:rPr>
        <w:t>. – Documentos de planeación, apoyo a la planificación, desarrollo y promoción de procesos, proyectos y tanques de pensamiento en logística e infraestructura en la RAP EC presenta un comportamiento altamente significativo entre las vigencias 2023 y 2024.</w:t>
      </w:r>
    </w:p>
    <w:p w14:paraId="612229B4" w14:textId="312BDD9A" w:rsidR="009A0AFF" w:rsidRPr="009A0AFF" w:rsidRDefault="009A0AFF" w:rsidP="009A0AFF">
      <w:pPr>
        <w:spacing w:line="360" w:lineRule="auto"/>
        <w:jc w:val="both"/>
        <w:rPr>
          <w:rFonts w:ascii="Arial" w:hAnsi="Arial" w:cs="Arial"/>
        </w:rPr>
      </w:pPr>
      <w:r w:rsidRPr="009A0AFF">
        <w:rPr>
          <w:rFonts w:ascii="Arial" w:hAnsi="Arial" w:cs="Arial"/>
        </w:rPr>
        <w:t xml:space="preserve">En 2023 el presupuesto definitivo fue de $50.000.000, con una ejecución de $28.000.000, equivalente al 56%, lo que reflejó un bajo nivel de ejecución y limitaciones en la aplicación de los recursos destinados a este propósito. Para 2024 se asignó un presupuesto mucho más </w:t>
      </w:r>
      <w:r>
        <w:rPr>
          <w:rFonts w:ascii="Arial" w:hAnsi="Arial" w:cs="Arial"/>
        </w:rPr>
        <w:t>alto</w:t>
      </w:r>
      <w:r w:rsidRPr="009A0AFF">
        <w:rPr>
          <w:rFonts w:ascii="Arial" w:hAnsi="Arial" w:cs="Arial"/>
        </w:rPr>
        <w:t xml:space="preserve"> de $190.000.000, con una ejecución de $187.618.244, equivalente al 98,75%. Este desempeño evidencia no solo una ampliación considerable de los recursos asignados, sino también una ejecución altamente eficiente y cercana a la totalidad del presupuesto.</w:t>
      </w:r>
    </w:p>
    <w:p w14:paraId="76A6CA36" w14:textId="77777777" w:rsidR="009A0AFF" w:rsidRPr="009A0AFF" w:rsidRDefault="009A0AFF" w:rsidP="009A0AFF">
      <w:pPr>
        <w:spacing w:line="360" w:lineRule="auto"/>
        <w:jc w:val="both"/>
        <w:rPr>
          <w:rFonts w:ascii="Arial" w:hAnsi="Arial" w:cs="Arial"/>
        </w:rPr>
      </w:pPr>
      <w:r w:rsidRPr="009A0AFF">
        <w:rPr>
          <w:rFonts w:ascii="Arial" w:hAnsi="Arial" w:cs="Arial"/>
        </w:rPr>
        <w:t>La variación absoluta de $159.618.244, que representa un incremento del 570,07% frente al año anterior, responde a la priorización de este rubro dentro de la gestión de la RAP Eje Cafetero, con el objetivo de fortalecer procesos de planificación estratégica, el desarrollo de proyectos y la consolidación de herramientas de análisis y gestión en infraestructura y logística.</w:t>
      </w:r>
    </w:p>
    <w:p w14:paraId="501E7D30" w14:textId="3CB5855C" w:rsidR="009A0AFF" w:rsidRPr="009A0AFF" w:rsidRDefault="009A0AFF" w:rsidP="00EB474A">
      <w:pPr>
        <w:pStyle w:val="Prrafodelista"/>
        <w:numPr>
          <w:ilvl w:val="0"/>
          <w:numId w:val="21"/>
        </w:numPr>
        <w:spacing w:line="276" w:lineRule="auto"/>
        <w:jc w:val="both"/>
        <w:rPr>
          <w:rFonts w:ascii="Arial" w:eastAsia="Times New Roman" w:hAnsi="Arial" w:cs="Arial"/>
          <w:b/>
          <w:bCs/>
          <w:color w:val="000000"/>
          <w:kern w:val="0"/>
          <w:sz w:val="22"/>
          <w:szCs w:val="22"/>
          <w:lang w:eastAsia="es-CO"/>
          <w14:ligatures w14:val="none"/>
        </w:rPr>
      </w:pPr>
      <w:r w:rsidRPr="009A0AFF">
        <w:rPr>
          <w:rFonts w:ascii="Arial" w:eastAsia="Times New Roman" w:hAnsi="Arial" w:cs="Arial"/>
          <w:b/>
          <w:bCs/>
          <w:color w:val="000000"/>
          <w:kern w:val="0"/>
          <w:sz w:val="22"/>
          <w:szCs w:val="22"/>
          <w:lang w:eastAsia="es-CO"/>
          <w14:ligatures w14:val="none"/>
        </w:rPr>
        <w:lastRenderedPageBreak/>
        <w:t>Servicios de acceso a Internet de banda ancha - Servicios prestados a las empresas y servicios de producción</w:t>
      </w:r>
    </w:p>
    <w:tbl>
      <w:tblPr>
        <w:tblW w:w="11046" w:type="dxa"/>
        <w:jc w:val="center"/>
        <w:tblCellMar>
          <w:left w:w="70" w:type="dxa"/>
          <w:right w:w="70" w:type="dxa"/>
        </w:tblCellMar>
        <w:tblLook w:val="04A0" w:firstRow="1" w:lastRow="0" w:firstColumn="1" w:lastColumn="0" w:noHBand="0" w:noVBand="1"/>
      </w:tblPr>
      <w:tblGrid>
        <w:gridCol w:w="2258"/>
        <w:gridCol w:w="1417"/>
        <w:gridCol w:w="1252"/>
        <w:gridCol w:w="1016"/>
        <w:gridCol w:w="1110"/>
        <w:gridCol w:w="1252"/>
        <w:gridCol w:w="896"/>
        <w:gridCol w:w="1030"/>
        <w:gridCol w:w="815"/>
      </w:tblGrid>
      <w:tr w:rsidR="009A0AFF" w:rsidRPr="00EB474A" w14:paraId="3FF023D2" w14:textId="77777777" w:rsidTr="00EB474A">
        <w:trPr>
          <w:trHeight w:val="645"/>
          <w:jc w:val="center"/>
        </w:trPr>
        <w:tc>
          <w:tcPr>
            <w:tcW w:w="2258"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7A964DC1" w14:textId="64EADBE4"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Concepto</w:t>
            </w:r>
          </w:p>
        </w:tc>
        <w:tc>
          <w:tcPr>
            <w:tcW w:w="1417" w:type="dxa"/>
            <w:tcBorders>
              <w:top w:val="single" w:sz="8" w:space="0" w:color="auto"/>
              <w:left w:val="nil"/>
              <w:bottom w:val="single" w:sz="4" w:space="0" w:color="auto"/>
              <w:right w:val="single" w:sz="4" w:space="0" w:color="auto"/>
            </w:tcBorders>
            <w:shd w:val="clear" w:color="000000" w:fill="BDD6EE"/>
            <w:vAlign w:val="center"/>
            <w:hideMark/>
          </w:tcPr>
          <w:p w14:paraId="7331CD1C" w14:textId="000C5D91"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5896AFDE" w14:textId="1F1032D0"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1016" w:type="dxa"/>
            <w:vMerge w:val="restart"/>
            <w:tcBorders>
              <w:top w:val="single" w:sz="8" w:space="0" w:color="auto"/>
              <w:left w:val="single" w:sz="4" w:space="0" w:color="auto"/>
              <w:bottom w:val="single" w:sz="4" w:space="0" w:color="auto"/>
              <w:right w:val="nil"/>
            </w:tcBorders>
            <w:shd w:val="clear" w:color="000000" w:fill="BDD6EE"/>
            <w:vAlign w:val="center"/>
            <w:hideMark/>
          </w:tcPr>
          <w:p w14:paraId="27E5CBDD" w14:textId="236ED9AB"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110"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35CAAC8F" w14:textId="3C1D1386"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3B4ACA88" w14:textId="30689F70"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3F48A26A" w14:textId="39BE11A2"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1030"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608BA2A2" w14:textId="4F7A7003"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815"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67EB10CB" w14:textId="42CBD765"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9A0AFF" w:rsidRPr="00EB474A" w14:paraId="79A1C942" w14:textId="77777777" w:rsidTr="00EB474A">
        <w:trPr>
          <w:trHeight w:val="288"/>
          <w:jc w:val="center"/>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7A9B1497"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417" w:type="dxa"/>
            <w:tcBorders>
              <w:top w:val="nil"/>
              <w:left w:val="nil"/>
              <w:bottom w:val="nil"/>
              <w:right w:val="single" w:sz="4" w:space="0" w:color="auto"/>
            </w:tcBorders>
            <w:shd w:val="clear" w:color="000000" w:fill="BDD6EE"/>
            <w:vAlign w:val="center"/>
            <w:hideMark/>
          </w:tcPr>
          <w:p w14:paraId="2A71D4E0" w14:textId="728C2452"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6C005E21"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016" w:type="dxa"/>
            <w:vMerge/>
            <w:tcBorders>
              <w:top w:val="single" w:sz="8" w:space="0" w:color="auto"/>
              <w:left w:val="single" w:sz="4" w:space="0" w:color="auto"/>
              <w:bottom w:val="single" w:sz="4" w:space="0" w:color="auto"/>
              <w:right w:val="nil"/>
            </w:tcBorders>
            <w:vAlign w:val="center"/>
            <w:hideMark/>
          </w:tcPr>
          <w:p w14:paraId="65280023"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single" w:sz="4" w:space="0" w:color="auto"/>
              <w:bottom w:val="nil"/>
              <w:right w:val="single" w:sz="4" w:space="0" w:color="auto"/>
            </w:tcBorders>
            <w:shd w:val="clear" w:color="000000" w:fill="FFF2CC"/>
            <w:vAlign w:val="center"/>
            <w:hideMark/>
          </w:tcPr>
          <w:p w14:paraId="4A9A2B23" w14:textId="73C10E74" w:rsidR="009A0AFF" w:rsidRPr="00EB474A" w:rsidRDefault="009A0AFF" w:rsidP="009A0AFF">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1775B130"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191B3F41"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1030" w:type="dxa"/>
            <w:vMerge/>
            <w:tcBorders>
              <w:top w:val="single" w:sz="8" w:space="0" w:color="auto"/>
              <w:left w:val="single" w:sz="4" w:space="0" w:color="auto"/>
              <w:bottom w:val="single" w:sz="4" w:space="0" w:color="auto"/>
              <w:right w:val="single" w:sz="4" w:space="0" w:color="auto"/>
            </w:tcBorders>
            <w:vAlign w:val="center"/>
            <w:hideMark/>
          </w:tcPr>
          <w:p w14:paraId="455658A9"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c>
          <w:tcPr>
            <w:tcW w:w="815" w:type="dxa"/>
            <w:vMerge/>
            <w:tcBorders>
              <w:top w:val="single" w:sz="8" w:space="0" w:color="auto"/>
              <w:left w:val="single" w:sz="4" w:space="0" w:color="auto"/>
              <w:bottom w:val="single" w:sz="4" w:space="0" w:color="auto"/>
              <w:right w:val="single" w:sz="8" w:space="0" w:color="auto"/>
            </w:tcBorders>
            <w:vAlign w:val="center"/>
            <w:hideMark/>
          </w:tcPr>
          <w:p w14:paraId="1C942024" w14:textId="77777777" w:rsidR="009A0AFF" w:rsidRPr="00EB474A" w:rsidRDefault="009A0AFF" w:rsidP="009A0AFF">
            <w:pPr>
              <w:spacing w:after="0" w:line="240" w:lineRule="auto"/>
              <w:rPr>
                <w:rFonts w:ascii="Arial" w:eastAsia="Times New Roman" w:hAnsi="Arial" w:cs="Arial"/>
                <w:b/>
                <w:bCs/>
                <w:color w:val="000000"/>
                <w:kern w:val="0"/>
                <w:sz w:val="16"/>
                <w:szCs w:val="16"/>
                <w:lang w:eastAsia="es-CO"/>
                <w14:ligatures w14:val="none"/>
              </w:rPr>
            </w:pPr>
          </w:p>
        </w:tc>
      </w:tr>
      <w:tr w:rsidR="009A0AFF" w:rsidRPr="00EB474A" w14:paraId="16911532" w14:textId="77777777" w:rsidTr="00EB474A">
        <w:trPr>
          <w:trHeight w:val="1236"/>
          <w:jc w:val="center"/>
        </w:trPr>
        <w:tc>
          <w:tcPr>
            <w:tcW w:w="2258" w:type="dxa"/>
            <w:tcBorders>
              <w:top w:val="nil"/>
              <w:left w:val="single" w:sz="8" w:space="0" w:color="auto"/>
              <w:bottom w:val="single" w:sz="8" w:space="0" w:color="auto"/>
              <w:right w:val="single" w:sz="4" w:space="0" w:color="auto"/>
            </w:tcBorders>
            <w:vAlign w:val="center"/>
            <w:hideMark/>
          </w:tcPr>
          <w:p w14:paraId="4EB2F46B" w14:textId="515213E5" w:rsidR="009A0AFF" w:rsidRPr="00EB474A" w:rsidRDefault="009A0AFF" w:rsidP="009A0AFF">
            <w:pPr>
              <w:spacing w:after="0" w:line="240" w:lineRule="auto"/>
              <w:jc w:val="both"/>
              <w:rPr>
                <w:rFonts w:ascii="Arial" w:eastAsia="Times New Roman" w:hAnsi="Arial" w:cs="Arial"/>
                <w:color w:val="000000"/>
                <w:kern w:val="0"/>
                <w:sz w:val="16"/>
                <w:szCs w:val="16"/>
                <w:lang w:eastAsia="es-CO"/>
                <w14:ligatures w14:val="none"/>
              </w:rPr>
            </w:pPr>
            <w:r>
              <w:rPr>
                <w:rFonts w:ascii="Arial" w:hAnsi="Arial" w:cs="Arial"/>
                <w:color w:val="000000"/>
                <w:sz w:val="16"/>
                <w:szCs w:val="16"/>
              </w:rPr>
              <w:t>Servicios de acceso a Internet de banda ancha - Servicios prestados a las empresas y servicios de producción</w:t>
            </w:r>
          </w:p>
        </w:tc>
        <w:tc>
          <w:tcPr>
            <w:tcW w:w="1417" w:type="dxa"/>
            <w:tcBorders>
              <w:top w:val="single" w:sz="4" w:space="0" w:color="auto"/>
              <w:left w:val="nil"/>
              <w:bottom w:val="single" w:sz="8" w:space="0" w:color="auto"/>
              <w:right w:val="single" w:sz="4" w:space="0" w:color="auto"/>
            </w:tcBorders>
            <w:shd w:val="clear" w:color="000000" w:fill="FFFFFF"/>
            <w:noWrap/>
            <w:vAlign w:val="center"/>
            <w:hideMark/>
          </w:tcPr>
          <w:p w14:paraId="4257880F" w14:textId="18DCBC29" w:rsidR="009A0AFF" w:rsidRPr="00EB474A" w:rsidRDefault="009A0AFF" w:rsidP="009A0AFF">
            <w:pPr>
              <w:spacing w:after="0" w:line="240" w:lineRule="auto"/>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                      8.000.000 </w:t>
            </w:r>
          </w:p>
        </w:tc>
        <w:tc>
          <w:tcPr>
            <w:tcW w:w="1252" w:type="dxa"/>
            <w:tcBorders>
              <w:top w:val="single" w:sz="4" w:space="0" w:color="auto"/>
              <w:left w:val="nil"/>
              <w:bottom w:val="single" w:sz="8" w:space="0" w:color="auto"/>
              <w:right w:val="single" w:sz="4" w:space="0" w:color="auto"/>
            </w:tcBorders>
            <w:shd w:val="clear" w:color="000000" w:fill="FFFFFF"/>
            <w:noWrap/>
            <w:vAlign w:val="center"/>
            <w:hideMark/>
          </w:tcPr>
          <w:p w14:paraId="330B8376" w14:textId="7EA8F076" w:rsidR="009A0AFF" w:rsidRPr="00EB474A" w:rsidRDefault="009A0AFF" w:rsidP="009A0AFF">
            <w:pPr>
              <w:spacing w:after="0" w:line="240" w:lineRule="auto"/>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                  4.998.933 </w:t>
            </w:r>
          </w:p>
        </w:tc>
        <w:tc>
          <w:tcPr>
            <w:tcW w:w="1016" w:type="dxa"/>
            <w:tcBorders>
              <w:top w:val="single" w:sz="4" w:space="0" w:color="auto"/>
              <w:left w:val="nil"/>
              <w:bottom w:val="single" w:sz="8" w:space="0" w:color="auto"/>
              <w:right w:val="single" w:sz="4" w:space="0" w:color="auto"/>
            </w:tcBorders>
            <w:noWrap/>
            <w:vAlign w:val="center"/>
            <w:hideMark/>
          </w:tcPr>
          <w:p w14:paraId="5BBF21CE" w14:textId="40931562"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62,49%</w:t>
            </w:r>
          </w:p>
        </w:tc>
        <w:tc>
          <w:tcPr>
            <w:tcW w:w="1110" w:type="dxa"/>
            <w:tcBorders>
              <w:top w:val="single" w:sz="4" w:space="0" w:color="auto"/>
              <w:left w:val="nil"/>
              <w:bottom w:val="single" w:sz="8" w:space="0" w:color="auto"/>
              <w:right w:val="single" w:sz="4" w:space="0" w:color="auto"/>
            </w:tcBorders>
            <w:noWrap/>
            <w:vAlign w:val="center"/>
            <w:hideMark/>
          </w:tcPr>
          <w:p w14:paraId="4E80B0CE" w14:textId="01DB06EC"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6.200.000</w:t>
            </w:r>
          </w:p>
        </w:tc>
        <w:tc>
          <w:tcPr>
            <w:tcW w:w="1252" w:type="dxa"/>
            <w:tcBorders>
              <w:top w:val="single" w:sz="4" w:space="0" w:color="auto"/>
              <w:left w:val="nil"/>
              <w:bottom w:val="single" w:sz="8" w:space="0" w:color="auto"/>
              <w:right w:val="single" w:sz="4" w:space="0" w:color="auto"/>
            </w:tcBorders>
            <w:noWrap/>
            <w:vAlign w:val="center"/>
            <w:hideMark/>
          </w:tcPr>
          <w:p w14:paraId="3A0BA7ED" w14:textId="3FD8B368"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4.453.592</w:t>
            </w:r>
          </w:p>
        </w:tc>
        <w:tc>
          <w:tcPr>
            <w:tcW w:w="896" w:type="dxa"/>
            <w:tcBorders>
              <w:top w:val="single" w:sz="4" w:space="0" w:color="auto"/>
              <w:left w:val="nil"/>
              <w:bottom w:val="single" w:sz="8" w:space="0" w:color="auto"/>
              <w:right w:val="single" w:sz="4" w:space="0" w:color="auto"/>
            </w:tcBorders>
            <w:noWrap/>
            <w:vAlign w:val="center"/>
            <w:hideMark/>
          </w:tcPr>
          <w:p w14:paraId="6C3607CF" w14:textId="5458E4CC"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72%</w:t>
            </w:r>
          </w:p>
        </w:tc>
        <w:tc>
          <w:tcPr>
            <w:tcW w:w="1030" w:type="dxa"/>
            <w:tcBorders>
              <w:top w:val="nil"/>
              <w:left w:val="nil"/>
              <w:bottom w:val="single" w:sz="8" w:space="0" w:color="auto"/>
              <w:right w:val="single" w:sz="4" w:space="0" w:color="auto"/>
            </w:tcBorders>
            <w:noWrap/>
            <w:vAlign w:val="center"/>
            <w:hideMark/>
          </w:tcPr>
          <w:p w14:paraId="6FD692CC" w14:textId="6602F064"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545.341</w:t>
            </w:r>
          </w:p>
        </w:tc>
        <w:tc>
          <w:tcPr>
            <w:tcW w:w="815" w:type="dxa"/>
            <w:tcBorders>
              <w:top w:val="nil"/>
              <w:left w:val="nil"/>
              <w:bottom w:val="single" w:sz="8" w:space="0" w:color="auto"/>
              <w:right w:val="single" w:sz="8" w:space="0" w:color="auto"/>
            </w:tcBorders>
            <w:noWrap/>
            <w:vAlign w:val="center"/>
            <w:hideMark/>
          </w:tcPr>
          <w:p w14:paraId="15CA8D07" w14:textId="6B49DC15" w:rsidR="009A0AFF" w:rsidRPr="00EB474A" w:rsidRDefault="009A0AFF" w:rsidP="009A0AFF">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12,24%</w:t>
            </w:r>
          </w:p>
        </w:tc>
      </w:tr>
    </w:tbl>
    <w:p w14:paraId="2E70E1A1" w14:textId="77777777" w:rsidR="00EB474A" w:rsidRPr="00EB474A" w:rsidRDefault="00EB474A" w:rsidP="00EB474A">
      <w:pPr>
        <w:spacing w:line="360" w:lineRule="auto"/>
        <w:jc w:val="both"/>
        <w:rPr>
          <w:rFonts w:ascii="Arial" w:hAnsi="Arial" w:cs="Arial"/>
          <w:sz w:val="12"/>
          <w:szCs w:val="12"/>
        </w:rPr>
      </w:pPr>
    </w:p>
    <w:p w14:paraId="7E54CFEF" w14:textId="77777777" w:rsidR="009A0AFF" w:rsidRPr="009A0AFF" w:rsidRDefault="009A0AFF" w:rsidP="009A0AFF">
      <w:pPr>
        <w:spacing w:line="360" w:lineRule="auto"/>
        <w:jc w:val="both"/>
        <w:rPr>
          <w:rFonts w:ascii="Arial" w:hAnsi="Arial" w:cs="Arial"/>
        </w:rPr>
      </w:pPr>
      <w:r w:rsidRPr="009A0AFF">
        <w:rPr>
          <w:rFonts w:ascii="Arial" w:hAnsi="Arial" w:cs="Arial"/>
        </w:rPr>
        <w:t>El rubro Servicios de acceso a Internet de banda ancha – Servicios prestados a las empresas y servicios de producción presenta un comportamiento de crecimiento moderado en 2024 respecto a 2023, pero con una disminución en el nivel de ejecución porcentual.</w:t>
      </w:r>
    </w:p>
    <w:p w14:paraId="16BA1051" w14:textId="77777777" w:rsidR="009A0AFF" w:rsidRPr="009A0AFF" w:rsidRDefault="009A0AFF" w:rsidP="009A0AFF">
      <w:pPr>
        <w:spacing w:line="360" w:lineRule="auto"/>
        <w:jc w:val="both"/>
        <w:rPr>
          <w:rFonts w:ascii="Arial" w:hAnsi="Arial" w:cs="Arial"/>
        </w:rPr>
      </w:pPr>
      <w:r w:rsidRPr="009A0AFF">
        <w:rPr>
          <w:rFonts w:ascii="Arial" w:hAnsi="Arial" w:cs="Arial"/>
        </w:rPr>
        <w:t>En 2023 el presupuesto definitivo fue de $6.200.000, con una ejecución de $4.453.592, equivalente al 72%. Para 2024, el presupuesto aumentó a $8.000.000, reflejando una variación absoluta de $545.341, correspondiente al 12,24% frente al año anterior. Sin embargo, la ejecución alcanzó $4.998.933, lo que representa un 62,49%, es decir, un nivel menor al observado en 2023.</w:t>
      </w:r>
    </w:p>
    <w:p w14:paraId="7B10BD14" w14:textId="08A277AF" w:rsidR="009A0AFF" w:rsidRPr="009A0AFF" w:rsidRDefault="009A0AFF" w:rsidP="009A0AFF">
      <w:pPr>
        <w:spacing w:line="360" w:lineRule="auto"/>
        <w:jc w:val="both"/>
        <w:rPr>
          <w:rFonts w:ascii="Arial" w:hAnsi="Arial" w:cs="Arial"/>
        </w:rPr>
      </w:pPr>
      <w:r w:rsidRPr="009A0AFF">
        <w:rPr>
          <w:rFonts w:ascii="Arial" w:hAnsi="Arial" w:cs="Arial"/>
        </w:rPr>
        <w:t xml:space="preserve">Este resultado muestra que, aunque se destinaron más recursos para garantizar la conectividad institucional, no se logró ejecutar la totalidad de lo programado. La disminución en el porcentaje de ejecución también refleja que parte de la ampliación presupuestal no fue utilizada plenamente, lo que </w:t>
      </w:r>
      <w:r>
        <w:rPr>
          <w:rFonts w:ascii="Arial" w:hAnsi="Arial" w:cs="Arial"/>
        </w:rPr>
        <w:t>indica</w:t>
      </w:r>
      <w:r w:rsidRPr="009A0AFF">
        <w:rPr>
          <w:rFonts w:ascii="Arial" w:hAnsi="Arial" w:cs="Arial"/>
        </w:rPr>
        <w:t xml:space="preserve"> la necesidad de revisar la planeación de los costos asociados al servicio para que exista una mayor correspondencia entre lo presupuestado y lo efectivamente requerido.</w:t>
      </w:r>
    </w:p>
    <w:p w14:paraId="4C32974F" w14:textId="77777777" w:rsidR="009A0AFF" w:rsidRDefault="009A0AFF" w:rsidP="009A0AFF">
      <w:pPr>
        <w:spacing w:line="360" w:lineRule="auto"/>
        <w:jc w:val="both"/>
        <w:rPr>
          <w:rFonts w:ascii="Arial" w:hAnsi="Arial" w:cs="Arial"/>
        </w:rPr>
      </w:pPr>
      <w:r w:rsidRPr="009A0AFF">
        <w:rPr>
          <w:rFonts w:ascii="Arial" w:hAnsi="Arial" w:cs="Arial"/>
        </w:rPr>
        <w:t>En términos generales, este rubro mantiene una ejecución estable en valores absolutos, garantizando la conectividad básica para el funcionamiento de la entidad, pero requiere un mayor ajuste en su programación para evitar subejecuciones recurrentes.</w:t>
      </w:r>
    </w:p>
    <w:p w14:paraId="0C88AAD2" w14:textId="77777777" w:rsidR="00CB23EE" w:rsidRDefault="00CB23EE" w:rsidP="009A0AFF">
      <w:pPr>
        <w:spacing w:line="360" w:lineRule="auto"/>
        <w:jc w:val="both"/>
        <w:rPr>
          <w:rFonts w:ascii="Arial" w:hAnsi="Arial" w:cs="Arial"/>
        </w:rPr>
      </w:pPr>
    </w:p>
    <w:p w14:paraId="1BD1A518" w14:textId="77777777" w:rsidR="00CB23EE" w:rsidRDefault="00CB23EE" w:rsidP="009A0AFF">
      <w:pPr>
        <w:spacing w:line="360" w:lineRule="auto"/>
        <w:jc w:val="both"/>
        <w:rPr>
          <w:rFonts w:ascii="Arial" w:hAnsi="Arial" w:cs="Arial"/>
        </w:rPr>
      </w:pPr>
    </w:p>
    <w:p w14:paraId="14CA77CE" w14:textId="77777777" w:rsidR="00CB23EE" w:rsidRDefault="00CB23EE" w:rsidP="009A0AFF">
      <w:pPr>
        <w:spacing w:line="360" w:lineRule="auto"/>
        <w:jc w:val="both"/>
        <w:rPr>
          <w:rFonts w:ascii="Arial" w:hAnsi="Arial" w:cs="Arial"/>
        </w:rPr>
      </w:pPr>
    </w:p>
    <w:p w14:paraId="0828FF34" w14:textId="77777777" w:rsidR="00CB23EE" w:rsidRDefault="00CB23EE" w:rsidP="009A0AFF">
      <w:pPr>
        <w:spacing w:line="360" w:lineRule="auto"/>
        <w:jc w:val="both"/>
        <w:rPr>
          <w:rFonts w:ascii="Arial" w:hAnsi="Arial" w:cs="Arial"/>
        </w:rPr>
      </w:pPr>
    </w:p>
    <w:p w14:paraId="6B4FE623" w14:textId="15165CB3" w:rsidR="00CB23EE" w:rsidRPr="009A0AFF" w:rsidRDefault="00CB23EE" w:rsidP="009A0AFF">
      <w:pPr>
        <w:pStyle w:val="Prrafodelista"/>
        <w:numPr>
          <w:ilvl w:val="0"/>
          <w:numId w:val="21"/>
        </w:numPr>
        <w:spacing w:line="276" w:lineRule="auto"/>
        <w:jc w:val="both"/>
        <w:rPr>
          <w:rFonts w:ascii="Arial" w:eastAsia="Times New Roman" w:hAnsi="Arial" w:cs="Arial"/>
          <w:b/>
          <w:bCs/>
          <w:color w:val="000000"/>
          <w:kern w:val="0"/>
          <w:sz w:val="22"/>
          <w:szCs w:val="22"/>
          <w:lang w:eastAsia="es-CO"/>
          <w14:ligatures w14:val="none"/>
        </w:rPr>
      </w:pPr>
      <w:r w:rsidRPr="00CB23EE">
        <w:rPr>
          <w:rFonts w:ascii="Arial" w:eastAsia="Times New Roman" w:hAnsi="Arial" w:cs="Arial"/>
          <w:b/>
          <w:bCs/>
          <w:color w:val="000000"/>
          <w:kern w:val="0"/>
          <w:sz w:val="22"/>
          <w:szCs w:val="22"/>
          <w:lang w:eastAsia="es-CO"/>
          <w14:ligatures w14:val="none"/>
        </w:rPr>
        <w:lastRenderedPageBreak/>
        <w:t>Servicios de</w:t>
      </w:r>
      <w:r>
        <w:rPr>
          <w:rFonts w:ascii="Arial" w:eastAsia="Times New Roman" w:hAnsi="Arial" w:cs="Arial"/>
          <w:b/>
          <w:bCs/>
          <w:color w:val="000000"/>
          <w:kern w:val="0"/>
          <w:sz w:val="22"/>
          <w:szCs w:val="22"/>
          <w:lang w:eastAsia="es-CO"/>
          <w14:ligatures w14:val="none"/>
        </w:rPr>
        <w:t xml:space="preserve"> </w:t>
      </w:r>
      <w:r w:rsidRPr="00CB23EE">
        <w:rPr>
          <w:rFonts w:ascii="Arial" w:eastAsia="Times New Roman" w:hAnsi="Arial" w:cs="Arial"/>
          <w:b/>
          <w:bCs/>
          <w:color w:val="000000"/>
          <w:kern w:val="0"/>
          <w:sz w:val="22"/>
          <w:szCs w:val="22"/>
          <w:lang w:eastAsia="es-CO"/>
          <w14:ligatures w14:val="none"/>
        </w:rPr>
        <w:t>catering para eventos - Servicios de</w:t>
      </w:r>
      <w:r>
        <w:rPr>
          <w:rFonts w:ascii="Arial" w:eastAsia="Times New Roman" w:hAnsi="Arial" w:cs="Arial"/>
          <w:b/>
          <w:bCs/>
          <w:color w:val="000000"/>
          <w:kern w:val="0"/>
          <w:sz w:val="22"/>
          <w:szCs w:val="22"/>
          <w:lang w:eastAsia="es-CO"/>
          <w14:ligatures w14:val="none"/>
        </w:rPr>
        <w:t xml:space="preserve"> </w:t>
      </w:r>
      <w:r w:rsidRPr="00CB23EE">
        <w:rPr>
          <w:rFonts w:ascii="Arial" w:eastAsia="Times New Roman" w:hAnsi="Arial" w:cs="Arial"/>
          <w:b/>
          <w:bCs/>
          <w:color w:val="000000"/>
          <w:kern w:val="0"/>
          <w:sz w:val="22"/>
          <w:szCs w:val="22"/>
          <w:lang w:eastAsia="es-CO"/>
          <w14:ligatures w14:val="none"/>
        </w:rPr>
        <w:t>alojamiento; servicios de suministro de comidas y</w:t>
      </w:r>
      <w:r>
        <w:rPr>
          <w:rFonts w:ascii="Arial" w:eastAsia="Times New Roman" w:hAnsi="Arial" w:cs="Arial"/>
          <w:b/>
          <w:bCs/>
          <w:color w:val="000000"/>
          <w:kern w:val="0"/>
          <w:sz w:val="22"/>
          <w:szCs w:val="22"/>
          <w:lang w:eastAsia="es-CO"/>
          <w14:ligatures w14:val="none"/>
        </w:rPr>
        <w:t xml:space="preserve"> </w:t>
      </w:r>
      <w:r w:rsidRPr="00CB23EE">
        <w:rPr>
          <w:rFonts w:ascii="Arial" w:eastAsia="Times New Roman" w:hAnsi="Arial" w:cs="Arial"/>
          <w:b/>
          <w:bCs/>
          <w:color w:val="000000"/>
          <w:kern w:val="0"/>
          <w:sz w:val="22"/>
          <w:szCs w:val="22"/>
          <w:lang w:eastAsia="es-CO"/>
          <w14:ligatures w14:val="none"/>
        </w:rPr>
        <w:t>bebidas; servicios de transporte; y servicios de</w:t>
      </w:r>
      <w:r w:rsidRPr="00CB23EE">
        <w:rPr>
          <w:rFonts w:ascii="Arial" w:eastAsia="Times New Roman" w:hAnsi="Arial" w:cs="Arial"/>
          <w:b/>
          <w:bCs/>
          <w:color w:val="000000"/>
          <w:kern w:val="0"/>
          <w:sz w:val="22"/>
          <w:szCs w:val="22"/>
          <w:lang w:eastAsia="es-CO"/>
          <w14:ligatures w14:val="none"/>
        </w:rPr>
        <w:br/>
        <w:t>distribución de electricidad, gas y agua</w:t>
      </w:r>
    </w:p>
    <w:tbl>
      <w:tblPr>
        <w:tblW w:w="11046" w:type="dxa"/>
        <w:jc w:val="center"/>
        <w:tblCellMar>
          <w:left w:w="70" w:type="dxa"/>
          <w:right w:w="70" w:type="dxa"/>
        </w:tblCellMar>
        <w:tblLook w:val="04A0" w:firstRow="1" w:lastRow="0" w:firstColumn="1" w:lastColumn="0" w:noHBand="0" w:noVBand="1"/>
      </w:tblPr>
      <w:tblGrid>
        <w:gridCol w:w="2258"/>
        <w:gridCol w:w="1417"/>
        <w:gridCol w:w="1252"/>
        <w:gridCol w:w="1016"/>
        <w:gridCol w:w="1110"/>
        <w:gridCol w:w="1252"/>
        <w:gridCol w:w="896"/>
        <w:gridCol w:w="1030"/>
        <w:gridCol w:w="815"/>
      </w:tblGrid>
      <w:tr w:rsidR="00CB23EE" w:rsidRPr="00EB474A" w14:paraId="64912769" w14:textId="77777777" w:rsidTr="00CF01F2">
        <w:trPr>
          <w:trHeight w:val="645"/>
          <w:jc w:val="center"/>
        </w:trPr>
        <w:tc>
          <w:tcPr>
            <w:tcW w:w="2258" w:type="dxa"/>
            <w:vMerge w:val="restart"/>
            <w:tcBorders>
              <w:top w:val="single" w:sz="8" w:space="0" w:color="auto"/>
              <w:left w:val="single" w:sz="8" w:space="0" w:color="auto"/>
              <w:bottom w:val="single" w:sz="4" w:space="0" w:color="auto"/>
              <w:right w:val="single" w:sz="4" w:space="0" w:color="auto"/>
            </w:tcBorders>
            <w:shd w:val="clear" w:color="000000" w:fill="C5E0B3"/>
            <w:noWrap/>
            <w:vAlign w:val="center"/>
            <w:hideMark/>
          </w:tcPr>
          <w:p w14:paraId="0C93D921" w14:textId="3A651584"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Concepto</w:t>
            </w:r>
          </w:p>
        </w:tc>
        <w:tc>
          <w:tcPr>
            <w:tcW w:w="1417" w:type="dxa"/>
            <w:tcBorders>
              <w:top w:val="single" w:sz="8" w:space="0" w:color="auto"/>
              <w:left w:val="nil"/>
              <w:bottom w:val="single" w:sz="4" w:space="0" w:color="auto"/>
              <w:right w:val="single" w:sz="4" w:space="0" w:color="auto"/>
            </w:tcBorders>
            <w:shd w:val="clear" w:color="000000" w:fill="BDD6EE"/>
            <w:vAlign w:val="center"/>
            <w:hideMark/>
          </w:tcPr>
          <w:p w14:paraId="1EFD7EE3" w14:textId="70185674"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 31.</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BDD6EE"/>
            <w:vAlign w:val="center"/>
            <w:hideMark/>
          </w:tcPr>
          <w:p w14:paraId="7DF99145" w14:textId="1AF5F0FB"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proofErr w:type="gramStart"/>
            <w:r>
              <w:rPr>
                <w:rFonts w:ascii="Arial" w:hAnsi="Arial" w:cs="Arial"/>
                <w:b/>
                <w:bCs/>
                <w:color w:val="000000"/>
                <w:sz w:val="16"/>
                <w:szCs w:val="16"/>
              </w:rPr>
              <w:t>Total</w:t>
            </w:r>
            <w:proofErr w:type="gramEnd"/>
            <w:r>
              <w:rPr>
                <w:rFonts w:ascii="Arial" w:hAnsi="Arial" w:cs="Arial"/>
                <w:b/>
                <w:bCs/>
                <w:color w:val="000000"/>
                <w:sz w:val="16"/>
                <w:szCs w:val="16"/>
              </w:rPr>
              <w:t xml:space="preserve"> Ejecución (Obligaciones) a 31 de Dic. de 2024</w:t>
            </w:r>
          </w:p>
        </w:tc>
        <w:tc>
          <w:tcPr>
            <w:tcW w:w="1016" w:type="dxa"/>
            <w:vMerge w:val="restart"/>
            <w:tcBorders>
              <w:top w:val="single" w:sz="8" w:space="0" w:color="auto"/>
              <w:left w:val="single" w:sz="4" w:space="0" w:color="auto"/>
              <w:bottom w:val="single" w:sz="4" w:space="0" w:color="auto"/>
              <w:right w:val="nil"/>
            </w:tcBorders>
            <w:shd w:val="clear" w:color="000000" w:fill="BDD6EE"/>
            <w:vAlign w:val="center"/>
            <w:hideMark/>
          </w:tcPr>
          <w:p w14:paraId="6A46F6DB" w14:textId="40B66F27"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2024</w:t>
            </w:r>
          </w:p>
        </w:tc>
        <w:tc>
          <w:tcPr>
            <w:tcW w:w="1110" w:type="dxa"/>
            <w:tcBorders>
              <w:top w:val="single" w:sz="8" w:space="0" w:color="auto"/>
              <w:left w:val="single" w:sz="4" w:space="0" w:color="auto"/>
              <w:bottom w:val="single" w:sz="4" w:space="0" w:color="auto"/>
              <w:right w:val="single" w:sz="4" w:space="0" w:color="auto"/>
            </w:tcBorders>
            <w:shd w:val="clear" w:color="000000" w:fill="FFF2CC"/>
            <w:vAlign w:val="center"/>
            <w:hideMark/>
          </w:tcPr>
          <w:p w14:paraId="3F7913E3" w14:textId="09905717"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Presupuesto Definitivo Dic.</w:t>
            </w:r>
          </w:p>
        </w:tc>
        <w:tc>
          <w:tcPr>
            <w:tcW w:w="1252" w:type="dxa"/>
            <w:vMerge w:val="restart"/>
            <w:tcBorders>
              <w:top w:val="single" w:sz="8" w:space="0" w:color="auto"/>
              <w:left w:val="single" w:sz="4" w:space="0" w:color="auto"/>
              <w:bottom w:val="single" w:sz="4" w:space="0" w:color="auto"/>
              <w:right w:val="single" w:sz="4" w:space="0" w:color="auto"/>
            </w:tcBorders>
            <w:shd w:val="clear" w:color="000000" w:fill="FFF2CC"/>
            <w:vAlign w:val="center"/>
            <w:hideMark/>
          </w:tcPr>
          <w:p w14:paraId="22FCCD9F" w14:textId="4FE6CAC2"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Ejecución (Obligaciones)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896" w:type="dxa"/>
            <w:vMerge w:val="restart"/>
            <w:tcBorders>
              <w:top w:val="single" w:sz="8" w:space="0" w:color="auto"/>
              <w:left w:val="nil"/>
              <w:bottom w:val="single" w:sz="4" w:space="0" w:color="auto"/>
              <w:right w:val="single" w:sz="4" w:space="0" w:color="auto"/>
            </w:tcBorders>
            <w:shd w:val="clear" w:color="000000" w:fill="FFF2CC"/>
            <w:vAlign w:val="center"/>
            <w:hideMark/>
          </w:tcPr>
          <w:p w14:paraId="576924A7" w14:textId="09DA3DBC"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 xml:space="preserve">% de Ejecución a 31 de </w:t>
            </w:r>
            <w:proofErr w:type="gramStart"/>
            <w:r>
              <w:rPr>
                <w:rFonts w:ascii="Arial" w:hAnsi="Arial" w:cs="Arial"/>
                <w:b/>
                <w:bCs/>
                <w:color w:val="000000"/>
                <w:sz w:val="16"/>
                <w:szCs w:val="16"/>
              </w:rPr>
              <w:t>Dic.</w:t>
            </w:r>
            <w:proofErr w:type="gramEnd"/>
            <w:r>
              <w:rPr>
                <w:rFonts w:ascii="Arial" w:hAnsi="Arial" w:cs="Arial"/>
                <w:b/>
                <w:bCs/>
                <w:color w:val="000000"/>
                <w:sz w:val="16"/>
                <w:szCs w:val="16"/>
              </w:rPr>
              <w:t xml:space="preserve"> de 2023</w:t>
            </w:r>
          </w:p>
        </w:tc>
        <w:tc>
          <w:tcPr>
            <w:tcW w:w="1030" w:type="dxa"/>
            <w:vMerge w:val="restart"/>
            <w:tcBorders>
              <w:top w:val="single" w:sz="8" w:space="0" w:color="auto"/>
              <w:left w:val="single" w:sz="4" w:space="0" w:color="auto"/>
              <w:bottom w:val="single" w:sz="4" w:space="0" w:color="auto"/>
              <w:right w:val="single" w:sz="4" w:space="0" w:color="auto"/>
            </w:tcBorders>
            <w:shd w:val="clear" w:color="000000" w:fill="F5ABF5"/>
            <w:vAlign w:val="center"/>
            <w:hideMark/>
          </w:tcPr>
          <w:p w14:paraId="77AFF6FA" w14:textId="69637B62"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Absoluta</w:t>
            </w:r>
          </w:p>
        </w:tc>
        <w:tc>
          <w:tcPr>
            <w:tcW w:w="815" w:type="dxa"/>
            <w:vMerge w:val="restart"/>
            <w:tcBorders>
              <w:top w:val="single" w:sz="8" w:space="0" w:color="auto"/>
              <w:left w:val="single" w:sz="4" w:space="0" w:color="auto"/>
              <w:bottom w:val="single" w:sz="4" w:space="0" w:color="auto"/>
              <w:right w:val="single" w:sz="8" w:space="0" w:color="auto"/>
            </w:tcBorders>
            <w:shd w:val="clear" w:color="000000" w:fill="F5ABF5"/>
            <w:vAlign w:val="center"/>
            <w:hideMark/>
          </w:tcPr>
          <w:p w14:paraId="34A2CCA2" w14:textId="0341D77D"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Var. Relativa</w:t>
            </w:r>
          </w:p>
        </w:tc>
      </w:tr>
      <w:tr w:rsidR="00CB23EE" w:rsidRPr="00EB474A" w14:paraId="7B5E416A" w14:textId="77777777" w:rsidTr="00CF01F2">
        <w:trPr>
          <w:trHeight w:val="288"/>
          <w:jc w:val="center"/>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2FA1C8B4"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1417" w:type="dxa"/>
            <w:tcBorders>
              <w:top w:val="nil"/>
              <w:left w:val="nil"/>
              <w:bottom w:val="nil"/>
              <w:right w:val="single" w:sz="4" w:space="0" w:color="auto"/>
            </w:tcBorders>
            <w:shd w:val="clear" w:color="000000" w:fill="BDD6EE"/>
            <w:vAlign w:val="center"/>
            <w:hideMark/>
          </w:tcPr>
          <w:p w14:paraId="6C9D67E5" w14:textId="358B21EC"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2024</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6DA7B978"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1016" w:type="dxa"/>
            <w:vMerge/>
            <w:tcBorders>
              <w:top w:val="single" w:sz="8" w:space="0" w:color="auto"/>
              <w:left w:val="single" w:sz="4" w:space="0" w:color="auto"/>
              <w:bottom w:val="single" w:sz="4" w:space="0" w:color="auto"/>
              <w:right w:val="nil"/>
            </w:tcBorders>
            <w:vAlign w:val="center"/>
            <w:hideMark/>
          </w:tcPr>
          <w:p w14:paraId="56832568"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1110" w:type="dxa"/>
            <w:tcBorders>
              <w:top w:val="nil"/>
              <w:left w:val="single" w:sz="4" w:space="0" w:color="auto"/>
              <w:bottom w:val="nil"/>
              <w:right w:val="single" w:sz="4" w:space="0" w:color="auto"/>
            </w:tcBorders>
            <w:shd w:val="clear" w:color="000000" w:fill="FFF2CC"/>
            <w:vAlign w:val="center"/>
            <w:hideMark/>
          </w:tcPr>
          <w:p w14:paraId="003EE785" w14:textId="0259D4E0" w:rsidR="00CB23EE" w:rsidRPr="00EB474A" w:rsidRDefault="00CB23EE" w:rsidP="00CB23EE">
            <w:pPr>
              <w:spacing w:after="0" w:line="240" w:lineRule="auto"/>
              <w:jc w:val="center"/>
              <w:rPr>
                <w:rFonts w:ascii="Arial" w:eastAsia="Times New Roman" w:hAnsi="Arial" w:cs="Arial"/>
                <w:b/>
                <w:bCs/>
                <w:color w:val="000000"/>
                <w:kern w:val="0"/>
                <w:sz w:val="16"/>
                <w:szCs w:val="16"/>
                <w:lang w:eastAsia="es-CO"/>
                <w14:ligatures w14:val="none"/>
              </w:rPr>
            </w:pPr>
            <w:r>
              <w:rPr>
                <w:rFonts w:ascii="Arial" w:hAnsi="Arial" w:cs="Arial"/>
                <w:b/>
                <w:bCs/>
                <w:color w:val="000000"/>
                <w:sz w:val="16"/>
                <w:szCs w:val="16"/>
              </w:rPr>
              <w:t>2023</w:t>
            </w:r>
          </w:p>
        </w:tc>
        <w:tc>
          <w:tcPr>
            <w:tcW w:w="1252" w:type="dxa"/>
            <w:vMerge/>
            <w:tcBorders>
              <w:top w:val="single" w:sz="8" w:space="0" w:color="auto"/>
              <w:left w:val="single" w:sz="4" w:space="0" w:color="auto"/>
              <w:bottom w:val="single" w:sz="4" w:space="0" w:color="auto"/>
              <w:right w:val="single" w:sz="4" w:space="0" w:color="auto"/>
            </w:tcBorders>
            <w:vAlign w:val="center"/>
            <w:hideMark/>
          </w:tcPr>
          <w:p w14:paraId="0844798A"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896" w:type="dxa"/>
            <w:vMerge/>
            <w:tcBorders>
              <w:top w:val="single" w:sz="8" w:space="0" w:color="auto"/>
              <w:left w:val="nil"/>
              <w:bottom w:val="single" w:sz="4" w:space="0" w:color="auto"/>
              <w:right w:val="single" w:sz="4" w:space="0" w:color="auto"/>
            </w:tcBorders>
            <w:vAlign w:val="center"/>
            <w:hideMark/>
          </w:tcPr>
          <w:p w14:paraId="45F75AA8"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1030" w:type="dxa"/>
            <w:vMerge/>
            <w:tcBorders>
              <w:top w:val="single" w:sz="8" w:space="0" w:color="auto"/>
              <w:left w:val="single" w:sz="4" w:space="0" w:color="auto"/>
              <w:bottom w:val="single" w:sz="4" w:space="0" w:color="auto"/>
              <w:right w:val="single" w:sz="4" w:space="0" w:color="auto"/>
            </w:tcBorders>
            <w:vAlign w:val="center"/>
            <w:hideMark/>
          </w:tcPr>
          <w:p w14:paraId="3D5DB7BD"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c>
          <w:tcPr>
            <w:tcW w:w="815" w:type="dxa"/>
            <w:vMerge/>
            <w:tcBorders>
              <w:top w:val="single" w:sz="8" w:space="0" w:color="auto"/>
              <w:left w:val="single" w:sz="4" w:space="0" w:color="auto"/>
              <w:bottom w:val="single" w:sz="4" w:space="0" w:color="auto"/>
              <w:right w:val="single" w:sz="8" w:space="0" w:color="auto"/>
            </w:tcBorders>
            <w:vAlign w:val="center"/>
            <w:hideMark/>
          </w:tcPr>
          <w:p w14:paraId="4F5E9A9C" w14:textId="77777777" w:rsidR="00CB23EE" w:rsidRPr="00EB474A" w:rsidRDefault="00CB23EE" w:rsidP="00CB23EE">
            <w:pPr>
              <w:spacing w:after="0" w:line="240" w:lineRule="auto"/>
              <w:rPr>
                <w:rFonts w:ascii="Arial" w:eastAsia="Times New Roman" w:hAnsi="Arial" w:cs="Arial"/>
                <w:b/>
                <w:bCs/>
                <w:color w:val="000000"/>
                <w:kern w:val="0"/>
                <w:sz w:val="16"/>
                <w:szCs w:val="16"/>
                <w:lang w:eastAsia="es-CO"/>
                <w14:ligatures w14:val="none"/>
              </w:rPr>
            </w:pPr>
          </w:p>
        </w:tc>
      </w:tr>
      <w:tr w:rsidR="00CB23EE" w:rsidRPr="00EB474A" w14:paraId="4BE07AD1" w14:textId="77777777" w:rsidTr="00CF01F2">
        <w:trPr>
          <w:trHeight w:val="1236"/>
          <w:jc w:val="center"/>
        </w:trPr>
        <w:tc>
          <w:tcPr>
            <w:tcW w:w="2258" w:type="dxa"/>
            <w:tcBorders>
              <w:top w:val="nil"/>
              <w:left w:val="single" w:sz="8" w:space="0" w:color="auto"/>
              <w:bottom w:val="single" w:sz="8" w:space="0" w:color="auto"/>
              <w:right w:val="single" w:sz="4" w:space="0" w:color="auto"/>
            </w:tcBorders>
            <w:vAlign w:val="center"/>
            <w:hideMark/>
          </w:tcPr>
          <w:p w14:paraId="6A006B2D" w14:textId="2DB5752A" w:rsidR="00CB23EE" w:rsidRPr="00EB474A" w:rsidRDefault="00CB23EE" w:rsidP="00CB23EE">
            <w:pPr>
              <w:spacing w:after="0" w:line="240" w:lineRule="auto"/>
              <w:jc w:val="both"/>
              <w:rPr>
                <w:rFonts w:ascii="Arial" w:eastAsia="Times New Roman" w:hAnsi="Arial" w:cs="Arial"/>
                <w:color w:val="000000"/>
                <w:kern w:val="0"/>
                <w:sz w:val="16"/>
                <w:szCs w:val="16"/>
                <w:lang w:eastAsia="es-CO"/>
                <w14:ligatures w14:val="none"/>
              </w:rPr>
            </w:pPr>
            <w:r>
              <w:rPr>
                <w:rFonts w:ascii="Arial" w:hAnsi="Arial" w:cs="Arial"/>
                <w:color w:val="000000"/>
                <w:sz w:val="16"/>
                <w:szCs w:val="16"/>
              </w:rPr>
              <w:t>Servicios de catering para eventos - Servicios de</w:t>
            </w:r>
            <w:r>
              <w:rPr>
                <w:rFonts w:ascii="Arial" w:hAnsi="Arial" w:cs="Arial"/>
                <w:color w:val="000000"/>
                <w:sz w:val="16"/>
                <w:szCs w:val="16"/>
              </w:rPr>
              <w:br/>
              <w:t>alojamiento; servicios de suministro de comidas y</w:t>
            </w:r>
            <w:r>
              <w:rPr>
                <w:rFonts w:ascii="Arial" w:hAnsi="Arial" w:cs="Arial"/>
                <w:color w:val="000000"/>
                <w:sz w:val="16"/>
                <w:szCs w:val="16"/>
              </w:rPr>
              <w:br/>
              <w:t>bebidas; servicios de transporte; y servicios de</w:t>
            </w:r>
            <w:r>
              <w:rPr>
                <w:rFonts w:ascii="Arial" w:hAnsi="Arial" w:cs="Arial"/>
                <w:color w:val="000000"/>
                <w:sz w:val="16"/>
                <w:szCs w:val="16"/>
              </w:rPr>
              <w:br/>
              <w:t>distribución de electricidad, gas y agua</w:t>
            </w:r>
          </w:p>
        </w:tc>
        <w:tc>
          <w:tcPr>
            <w:tcW w:w="1417" w:type="dxa"/>
            <w:tcBorders>
              <w:top w:val="single" w:sz="4" w:space="0" w:color="auto"/>
              <w:left w:val="nil"/>
              <w:bottom w:val="single" w:sz="8" w:space="0" w:color="auto"/>
              <w:right w:val="single" w:sz="4" w:space="0" w:color="auto"/>
            </w:tcBorders>
            <w:shd w:val="clear" w:color="000000" w:fill="FFFFFF"/>
            <w:noWrap/>
            <w:vAlign w:val="center"/>
            <w:hideMark/>
          </w:tcPr>
          <w:p w14:paraId="2D1C9E4D" w14:textId="699C38B5"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       17.000.000 </w:t>
            </w:r>
          </w:p>
        </w:tc>
        <w:tc>
          <w:tcPr>
            <w:tcW w:w="1252" w:type="dxa"/>
            <w:tcBorders>
              <w:top w:val="single" w:sz="4" w:space="0" w:color="auto"/>
              <w:left w:val="nil"/>
              <w:bottom w:val="single" w:sz="8" w:space="0" w:color="auto"/>
              <w:right w:val="single" w:sz="4" w:space="0" w:color="auto"/>
            </w:tcBorders>
            <w:shd w:val="clear" w:color="000000" w:fill="FFFFFF"/>
            <w:noWrap/>
            <w:vAlign w:val="center"/>
            <w:hideMark/>
          </w:tcPr>
          <w:p w14:paraId="3DF1BA9A" w14:textId="363BB0C3"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 xml:space="preserve">17.000.000 </w:t>
            </w:r>
          </w:p>
        </w:tc>
        <w:tc>
          <w:tcPr>
            <w:tcW w:w="1016" w:type="dxa"/>
            <w:tcBorders>
              <w:top w:val="single" w:sz="4" w:space="0" w:color="auto"/>
              <w:left w:val="nil"/>
              <w:bottom w:val="single" w:sz="8" w:space="0" w:color="auto"/>
              <w:right w:val="single" w:sz="4" w:space="0" w:color="auto"/>
            </w:tcBorders>
            <w:noWrap/>
            <w:vAlign w:val="center"/>
            <w:hideMark/>
          </w:tcPr>
          <w:p w14:paraId="7D907C7C" w14:textId="0D448D42"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100,00%</w:t>
            </w:r>
          </w:p>
        </w:tc>
        <w:tc>
          <w:tcPr>
            <w:tcW w:w="1110" w:type="dxa"/>
            <w:tcBorders>
              <w:top w:val="single" w:sz="4" w:space="0" w:color="auto"/>
              <w:left w:val="nil"/>
              <w:bottom w:val="single" w:sz="8" w:space="0" w:color="auto"/>
              <w:right w:val="single" w:sz="4" w:space="0" w:color="auto"/>
            </w:tcBorders>
            <w:noWrap/>
            <w:vAlign w:val="center"/>
            <w:hideMark/>
          </w:tcPr>
          <w:p w14:paraId="2B049962" w14:textId="0827129E"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30.000.000</w:t>
            </w:r>
          </w:p>
        </w:tc>
        <w:tc>
          <w:tcPr>
            <w:tcW w:w="1252" w:type="dxa"/>
            <w:tcBorders>
              <w:top w:val="single" w:sz="4" w:space="0" w:color="auto"/>
              <w:left w:val="nil"/>
              <w:bottom w:val="single" w:sz="8" w:space="0" w:color="auto"/>
              <w:right w:val="single" w:sz="4" w:space="0" w:color="auto"/>
            </w:tcBorders>
            <w:noWrap/>
            <w:vAlign w:val="center"/>
            <w:hideMark/>
          </w:tcPr>
          <w:p w14:paraId="6A7D13A6" w14:textId="08E498D6"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3.716.620</w:t>
            </w:r>
          </w:p>
        </w:tc>
        <w:tc>
          <w:tcPr>
            <w:tcW w:w="896" w:type="dxa"/>
            <w:tcBorders>
              <w:top w:val="single" w:sz="4" w:space="0" w:color="auto"/>
              <w:left w:val="nil"/>
              <w:bottom w:val="single" w:sz="8" w:space="0" w:color="auto"/>
              <w:right w:val="single" w:sz="4" w:space="0" w:color="auto"/>
            </w:tcBorders>
            <w:noWrap/>
            <w:vAlign w:val="center"/>
            <w:hideMark/>
          </w:tcPr>
          <w:p w14:paraId="5B67B958" w14:textId="49B9E2F4"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12%</w:t>
            </w:r>
          </w:p>
        </w:tc>
        <w:tc>
          <w:tcPr>
            <w:tcW w:w="1030" w:type="dxa"/>
            <w:tcBorders>
              <w:top w:val="nil"/>
              <w:left w:val="nil"/>
              <w:bottom w:val="single" w:sz="8" w:space="0" w:color="auto"/>
              <w:right w:val="single" w:sz="4" w:space="0" w:color="auto"/>
            </w:tcBorders>
            <w:noWrap/>
            <w:vAlign w:val="center"/>
            <w:hideMark/>
          </w:tcPr>
          <w:p w14:paraId="353E5058" w14:textId="0CC0E9B3"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13.283.380</w:t>
            </w:r>
          </w:p>
        </w:tc>
        <w:tc>
          <w:tcPr>
            <w:tcW w:w="815" w:type="dxa"/>
            <w:tcBorders>
              <w:top w:val="nil"/>
              <w:left w:val="nil"/>
              <w:bottom w:val="single" w:sz="8" w:space="0" w:color="auto"/>
              <w:right w:val="single" w:sz="8" w:space="0" w:color="auto"/>
            </w:tcBorders>
            <w:noWrap/>
            <w:vAlign w:val="center"/>
            <w:hideMark/>
          </w:tcPr>
          <w:p w14:paraId="329CFE9C" w14:textId="1B38186B" w:rsidR="00CB23EE" w:rsidRPr="00EB474A" w:rsidRDefault="00CB23EE" w:rsidP="00CB23EE">
            <w:pPr>
              <w:spacing w:after="0" w:line="240" w:lineRule="auto"/>
              <w:jc w:val="right"/>
              <w:rPr>
                <w:rFonts w:ascii="Arial" w:eastAsia="Times New Roman" w:hAnsi="Arial" w:cs="Arial"/>
                <w:color w:val="000000"/>
                <w:kern w:val="0"/>
                <w:sz w:val="16"/>
                <w:szCs w:val="16"/>
                <w:lang w:eastAsia="es-CO"/>
                <w14:ligatures w14:val="none"/>
              </w:rPr>
            </w:pPr>
            <w:r>
              <w:rPr>
                <w:rFonts w:ascii="Arial" w:hAnsi="Arial" w:cs="Arial"/>
                <w:color w:val="000000"/>
                <w:sz w:val="16"/>
                <w:szCs w:val="16"/>
              </w:rPr>
              <w:t>357,40%</w:t>
            </w:r>
          </w:p>
        </w:tc>
      </w:tr>
    </w:tbl>
    <w:p w14:paraId="4E4372B1" w14:textId="77777777" w:rsidR="009A0AFF" w:rsidRPr="009A0AFF" w:rsidRDefault="009A0AFF" w:rsidP="009A0AFF">
      <w:pPr>
        <w:spacing w:line="360" w:lineRule="auto"/>
        <w:jc w:val="both"/>
        <w:rPr>
          <w:rFonts w:ascii="Arial" w:hAnsi="Arial" w:cs="Arial"/>
          <w:sz w:val="14"/>
          <w:szCs w:val="14"/>
        </w:rPr>
      </w:pPr>
    </w:p>
    <w:p w14:paraId="7B372A5B" w14:textId="77777777" w:rsidR="00CB23EE" w:rsidRPr="00CB23EE" w:rsidRDefault="00CB23EE" w:rsidP="00CB23EE">
      <w:pPr>
        <w:spacing w:line="360" w:lineRule="auto"/>
        <w:jc w:val="both"/>
        <w:rPr>
          <w:rFonts w:ascii="Arial" w:hAnsi="Arial" w:cs="Arial"/>
        </w:rPr>
      </w:pPr>
      <w:r w:rsidRPr="00CB23EE">
        <w:rPr>
          <w:rFonts w:ascii="Arial" w:hAnsi="Arial" w:cs="Arial"/>
        </w:rPr>
        <w:t>El rubro Servicios de catering para eventos – Servicios de alojamiento, suministro de comidas y bebidas, transporte y servicios de distribución de electricidad, gas y agua evidencia un comportamiento muy relevante en la vigencia 2024 frente al 2023.</w:t>
      </w:r>
    </w:p>
    <w:p w14:paraId="0E60E3FE" w14:textId="77777777" w:rsidR="00CB23EE" w:rsidRPr="00CB23EE" w:rsidRDefault="00CB23EE" w:rsidP="00CB23EE">
      <w:pPr>
        <w:spacing w:line="360" w:lineRule="auto"/>
        <w:jc w:val="both"/>
        <w:rPr>
          <w:rFonts w:ascii="Arial" w:hAnsi="Arial" w:cs="Arial"/>
        </w:rPr>
      </w:pPr>
      <w:r w:rsidRPr="00CB23EE">
        <w:rPr>
          <w:rFonts w:ascii="Arial" w:hAnsi="Arial" w:cs="Arial"/>
        </w:rPr>
        <w:t>En 2023 el presupuesto definitivo fue de $30.000.000, pero la ejecución alcanzó únicamente $3.716.620, lo que representó un bajo nivel de cumplimiento del 12%. En contraste, para 2024 se redujo el presupuesto a $17.000.000, monto que fue ejecutado en su totalidad, alcanzando el 100% de ejecución.</w:t>
      </w:r>
    </w:p>
    <w:p w14:paraId="36172F5C" w14:textId="77777777" w:rsidR="00CB23EE" w:rsidRPr="00CB23EE" w:rsidRDefault="00CB23EE" w:rsidP="00CB23EE">
      <w:pPr>
        <w:spacing w:line="360" w:lineRule="auto"/>
        <w:jc w:val="both"/>
        <w:rPr>
          <w:rFonts w:ascii="Arial" w:hAnsi="Arial" w:cs="Arial"/>
        </w:rPr>
      </w:pPr>
      <w:r w:rsidRPr="00CB23EE">
        <w:rPr>
          <w:rFonts w:ascii="Arial" w:hAnsi="Arial" w:cs="Arial"/>
        </w:rPr>
        <w:t xml:space="preserve">La variación absoluta muestra un aumento de $13.283.380 en la ejecución real de recursos, equivalente a un crecimiento del 357,40% respecto al año anterior. Este comportamiento refleja un uso más racional y ajustado del presupuesto, </w:t>
      </w:r>
      <w:proofErr w:type="gramStart"/>
      <w:r w:rsidRPr="00CB23EE">
        <w:rPr>
          <w:rFonts w:ascii="Arial" w:hAnsi="Arial" w:cs="Arial"/>
        </w:rPr>
        <w:t>pues</w:t>
      </w:r>
      <w:proofErr w:type="gramEnd"/>
      <w:r w:rsidRPr="00CB23EE">
        <w:rPr>
          <w:rFonts w:ascii="Arial" w:hAnsi="Arial" w:cs="Arial"/>
        </w:rPr>
        <w:t xml:space="preserve"> aunque la asignación fue menor, se logró ejecutar la totalidad de los recursos, garantizando la atención de las necesidades institucionales de manera más eficiente y sin generar rezagos.</w:t>
      </w:r>
    </w:p>
    <w:p w14:paraId="3280BD15" w14:textId="77777777" w:rsidR="00CB23EE" w:rsidRPr="00CB23EE" w:rsidRDefault="00CB23EE" w:rsidP="00CB23EE">
      <w:pPr>
        <w:spacing w:line="360" w:lineRule="auto"/>
        <w:jc w:val="both"/>
        <w:rPr>
          <w:rFonts w:ascii="Arial" w:hAnsi="Arial" w:cs="Arial"/>
        </w:rPr>
      </w:pPr>
      <w:r w:rsidRPr="00CB23EE">
        <w:rPr>
          <w:rFonts w:ascii="Arial" w:hAnsi="Arial" w:cs="Arial"/>
        </w:rPr>
        <w:t>El cambio evidencia un fortalecimiento en la planeación del gasto, ya que en 2023 la sobrestimación presupuestal llevó a una baja ejecución porcentual, mientras que en 2024 se asignaron recursos más realistas frente a las necesidades y se aseguró su utilización completa. Esto se traduce en un manejo coherente con los lineamientos de austeridad, optimizando el gasto sin afectar el cumplimiento de las actividades de la entidad.</w:t>
      </w:r>
    </w:p>
    <w:p w14:paraId="2D289663" w14:textId="77777777" w:rsidR="009A0AFF" w:rsidRPr="009A0AFF" w:rsidRDefault="009A0AFF" w:rsidP="009A0AFF">
      <w:pPr>
        <w:spacing w:line="360" w:lineRule="auto"/>
        <w:jc w:val="both"/>
        <w:rPr>
          <w:rFonts w:ascii="Arial" w:hAnsi="Arial" w:cs="Arial"/>
        </w:rPr>
      </w:pPr>
    </w:p>
    <w:p w14:paraId="663784DA" w14:textId="77777777" w:rsidR="009A0AFF" w:rsidRPr="009A0AFF" w:rsidRDefault="009A0AFF" w:rsidP="009A0AFF">
      <w:pPr>
        <w:spacing w:line="360" w:lineRule="auto"/>
        <w:jc w:val="both"/>
        <w:rPr>
          <w:rFonts w:ascii="Arial" w:hAnsi="Arial" w:cs="Arial"/>
        </w:rPr>
      </w:pPr>
    </w:p>
    <w:p w14:paraId="771257EC" w14:textId="77777777" w:rsidR="009A0AFF" w:rsidRPr="009A0AFF" w:rsidRDefault="009A0AFF" w:rsidP="009A0AFF">
      <w:pPr>
        <w:spacing w:line="360" w:lineRule="auto"/>
        <w:jc w:val="both"/>
        <w:rPr>
          <w:rFonts w:ascii="Arial" w:hAnsi="Arial" w:cs="Arial"/>
        </w:rPr>
      </w:pPr>
    </w:p>
    <w:p w14:paraId="49A71AAF" w14:textId="77777777" w:rsidR="00EB474A" w:rsidRPr="00EB474A" w:rsidRDefault="00EB474A" w:rsidP="00EB474A">
      <w:pPr>
        <w:spacing w:after="0" w:line="240" w:lineRule="auto"/>
        <w:jc w:val="both"/>
        <w:rPr>
          <w:rFonts w:ascii="Arial" w:hAnsi="Arial" w:cs="Arial"/>
          <w:sz w:val="12"/>
          <w:szCs w:val="12"/>
        </w:rPr>
      </w:pPr>
    </w:p>
    <w:p w14:paraId="26DC21FB" w14:textId="3CD32500" w:rsidR="00AE6F46" w:rsidRPr="00EB474A" w:rsidRDefault="00EB474A" w:rsidP="00EB474A">
      <w:pPr>
        <w:pStyle w:val="Prrafodelista"/>
        <w:numPr>
          <w:ilvl w:val="0"/>
          <w:numId w:val="11"/>
        </w:numPr>
        <w:spacing w:line="360" w:lineRule="auto"/>
        <w:jc w:val="both"/>
        <w:outlineLvl w:val="0"/>
        <w:rPr>
          <w:rFonts w:ascii="Arial" w:hAnsi="Arial" w:cs="Arial"/>
          <w:b/>
          <w:bCs/>
        </w:rPr>
      </w:pPr>
      <w:bookmarkStart w:id="10" w:name="_Toc206540854"/>
      <w:r w:rsidRPr="00EB474A">
        <w:rPr>
          <w:rFonts w:ascii="Arial" w:hAnsi="Arial" w:cs="Arial"/>
          <w:b/>
          <w:bCs/>
        </w:rPr>
        <w:lastRenderedPageBreak/>
        <w:t>Conclusiones</w:t>
      </w:r>
      <w:bookmarkEnd w:id="10"/>
      <w:r w:rsidRPr="00EB474A">
        <w:rPr>
          <w:rFonts w:ascii="Arial" w:hAnsi="Arial" w:cs="Arial"/>
          <w:b/>
          <w:bCs/>
        </w:rPr>
        <w:t xml:space="preserve"> </w:t>
      </w:r>
    </w:p>
    <w:p w14:paraId="26A6AF08" w14:textId="77777777" w:rsidR="00CB23EE" w:rsidRPr="00CB23EE" w:rsidRDefault="00CB23EE" w:rsidP="00CB23EE">
      <w:pPr>
        <w:spacing w:line="360" w:lineRule="auto"/>
        <w:jc w:val="both"/>
        <w:rPr>
          <w:rFonts w:ascii="Arial" w:hAnsi="Arial" w:cs="Arial"/>
        </w:rPr>
      </w:pPr>
      <w:r w:rsidRPr="00CB23EE">
        <w:rPr>
          <w:rFonts w:ascii="Arial" w:hAnsi="Arial" w:cs="Arial"/>
        </w:rPr>
        <w:t>El análisis del comportamiento presupuestal de los diferentes rubros de la RAP Eje Cafetero a cierre de la vigencia 2024 permite concluir que, en términos generales, la entidad mostró avances importantes en la eficiencia del gasto, aunque persisten algunos aspectos que requieren fortalecimiento en la planeación y la ejecución. Se destaca que rubros como el sueldo básico, las primas y los viáticos presentaron incrementos en su asignación presupuestal asociados al cumplimiento de los ajustes salariales anuales y a la estabilidad en la vinculación de personal, lo cual permitió garantizar la operación institucional, aunque con porcentajes de ejecución ligeramente menores frente al 2023.</w:t>
      </w:r>
    </w:p>
    <w:p w14:paraId="6395831F" w14:textId="77777777" w:rsidR="00CB23EE" w:rsidRPr="00CB23EE" w:rsidRDefault="00CB23EE" w:rsidP="00CB23EE">
      <w:pPr>
        <w:spacing w:line="360" w:lineRule="auto"/>
        <w:jc w:val="both"/>
        <w:rPr>
          <w:rFonts w:ascii="Arial" w:hAnsi="Arial" w:cs="Arial"/>
        </w:rPr>
      </w:pPr>
      <w:r w:rsidRPr="00CB23EE">
        <w:rPr>
          <w:rFonts w:ascii="Arial" w:hAnsi="Arial" w:cs="Arial"/>
        </w:rPr>
        <w:t>En materia de servicios profesionales, jurídicos y técnicos, se evidencia un esfuerzo de racionalización, donde algunos rubros reflejaron reducciones en el presupuesto, pero manteniendo niveles de ejecución altos que garantizan el cumplimiento de las funciones misionales. Destaca de manera positiva el fortalecimiento de los recursos destinados a la planeación, con un crecimiento significativo en comparación con el año anterior y una ejecución casi total, lo que refleja un mejor direccionamiento de la inversión hacia procesos estratégicos.</w:t>
      </w:r>
    </w:p>
    <w:p w14:paraId="79D42575" w14:textId="77777777" w:rsidR="00CB23EE" w:rsidRPr="00CB23EE" w:rsidRDefault="00CB23EE" w:rsidP="00CB23EE">
      <w:pPr>
        <w:spacing w:line="360" w:lineRule="auto"/>
        <w:jc w:val="both"/>
        <w:rPr>
          <w:rFonts w:ascii="Arial" w:hAnsi="Arial" w:cs="Arial"/>
        </w:rPr>
      </w:pPr>
      <w:r w:rsidRPr="00CB23EE">
        <w:rPr>
          <w:rFonts w:ascii="Arial" w:hAnsi="Arial" w:cs="Arial"/>
        </w:rPr>
        <w:t>Rubros como los servicios de internet y otros gastos operativos muestran la necesidad de ajustar la planeación para evitar subejecuciones recurrentes, ya que, pese a la asignación de mayores recursos, no se logra un uso completo de los mismos. En contraste, el caso de los servicios de catering para eventos refleja una mejoría sustancial, pasando de una baja ejecución en 2023 a un cumplimiento total en 2024, lo cual evidencia un mayor control y coherencia en la estimación de necesidades.</w:t>
      </w:r>
    </w:p>
    <w:p w14:paraId="27252C5E" w14:textId="77777777" w:rsidR="00EB474A" w:rsidRPr="00CB23EE" w:rsidRDefault="00EB474A" w:rsidP="00EB474A">
      <w:pPr>
        <w:spacing w:after="0" w:line="240" w:lineRule="auto"/>
        <w:jc w:val="both"/>
        <w:rPr>
          <w:rFonts w:ascii="Arial" w:hAnsi="Arial" w:cs="Arial"/>
          <w:sz w:val="10"/>
          <w:szCs w:val="10"/>
        </w:rPr>
      </w:pPr>
    </w:p>
    <w:p w14:paraId="253DEEAD" w14:textId="3B0C716E" w:rsidR="00EB474A" w:rsidRPr="00EB474A" w:rsidRDefault="00EB474A" w:rsidP="00EB474A">
      <w:pPr>
        <w:pStyle w:val="Prrafodelista"/>
        <w:numPr>
          <w:ilvl w:val="0"/>
          <w:numId w:val="11"/>
        </w:numPr>
        <w:spacing w:line="360" w:lineRule="auto"/>
        <w:jc w:val="both"/>
        <w:outlineLvl w:val="0"/>
        <w:rPr>
          <w:rFonts w:ascii="Arial" w:hAnsi="Arial" w:cs="Arial"/>
          <w:b/>
          <w:bCs/>
        </w:rPr>
      </w:pPr>
      <w:bookmarkStart w:id="11" w:name="_Toc206540855"/>
      <w:r>
        <w:rPr>
          <w:rFonts w:ascii="Arial" w:hAnsi="Arial" w:cs="Arial"/>
          <w:b/>
          <w:bCs/>
        </w:rPr>
        <w:t>Recomendaciones</w:t>
      </w:r>
      <w:bookmarkEnd w:id="11"/>
      <w:r>
        <w:rPr>
          <w:rFonts w:ascii="Arial" w:hAnsi="Arial" w:cs="Arial"/>
          <w:b/>
          <w:bCs/>
        </w:rPr>
        <w:t xml:space="preserve"> </w:t>
      </w:r>
    </w:p>
    <w:p w14:paraId="0CF5A63D" w14:textId="77777777" w:rsidR="00CB23EE" w:rsidRPr="00CB23EE" w:rsidRDefault="00CB23EE" w:rsidP="00CB23EE">
      <w:pPr>
        <w:spacing w:line="360" w:lineRule="auto"/>
        <w:jc w:val="both"/>
        <w:rPr>
          <w:rFonts w:ascii="Arial" w:hAnsi="Arial" w:cs="Arial"/>
        </w:rPr>
      </w:pPr>
      <w:r w:rsidRPr="00CB23EE">
        <w:rPr>
          <w:rFonts w:ascii="Arial" w:hAnsi="Arial" w:cs="Arial"/>
        </w:rPr>
        <w:t>Se recomienda fortalecer los procesos de planeación presupuestal para garantizar una mayor correspondencia entre los recursos asignados y las necesidades reales de la entidad, evitando subejecuciones en rubros como servicios de internet y viáticos.</w:t>
      </w:r>
    </w:p>
    <w:p w14:paraId="46F71F91" w14:textId="2C6463C3" w:rsidR="00CB23EE" w:rsidRPr="00CB23EE" w:rsidRDefault="00CB23EE" w:rsidP="00CB23EE">
      <w:pPr>
        <w:spacing w:line="360" w:lineRule="auto"/>
        <w:jc w:val="both"/>
        <w:rPr>
          <w:rFonts w:ascii="Arial" w:hAnsi="Arial" w:cs="Arial"/>
        </w:rPr>
      </w:pPr>
      <w:r w:rsidRPr="00CB23EE">
        <w:rPr>
          <w:rFonts w:ascii="Arial" w:hAnsi="Arial" w:cs="Arial"/>
        </w:rPr>
        <w:t xml:space="preserve">También resulta conveniente consolidar mecanismos de seguimiento y control </w:t>
      </w:r>
      <w:r>
        <w:rPr>
          <w:rFonts w:ascii="Arial" w:hAnsi="Arial" w:cs="Arial"/>
        </w:rPr>
        <w:t>s</w:t>
      </w:r>
      <w:r w:rsidRPr="00CB23EE">
        <w:rPr>
          <w:rFonts w:ascii="Arial" w:hAnsi="Arial" w:cs="Arial"/>
        </w:rPr>
        <w:t>obre la ejecución del gasto, de manera que se identifiquen oportunamente los rezagos y se adopten ajustes que permitan cerrar la vigencia con niveles más altos de cumplimiento.</w:t>
      </w:r>
    </w:p>
    <w:p w14:paraId="45616466" w14:textId="6E1BA9A9" w:rsidR="00EB474A" w:rsidRDefault="00CB23EE" w:rsidP="00EB474A">
      <w:pPr>
        <w:spacing w:line="360" w:lineRule="auto"/>
        <w:jc w:val="both"/>
        <w:rPr>
          <w:rFonts w:ascii="Arial" w:hAnsi="Arial" w:cs="Arial"/>
        </w:rPr>
      </w:pPr>
      <w:r>
        <w:rPr>
          <w:rFonts w:ascii="Arial" w:hAnsi="Arial" w:cs="Arial"/>
        </w:rPr>
        <w:lastRenderedPageBreak/>
        <w:t xml:space="preserve">Es </w:t>
      </w:r>
      <w:r w:rsidRPr="00CB23EE">
        <w:rPr>
          <w:rFonts w:ascii="Arial" w:hAnsi="Arial" w:cs="Arial"/>
        </w:rPr>
        <w:t>importante mantener y replicar las buenas prácticas evidenciadas en rubros como los servicios de catering y los servicios de planeación, donde la asignación presupuestal fue coherente con las necesidades y se logró una ejecución total, asegurando eficiencia y sostenibilidad en el manejo de los recursos públicos.</w:t>
      </w:r>
    </w:p>
    <w:p w14:paraId="63105DCD" w14:textId="105888CA" w:rsidR="006044F0" w:rsidRPr="00F34EB6" w:rsidRDefault="00EB474A" w:rsidP="00EB474A">
      <w:pPr>
        <w:spacing w:line="360" w:lineRule="auto"/>
        <w:jc w:val="both"/>
        <w:rPr>
          <w:rFonts w:ascii="Arial" w:hAnsi="Arial" w:cs="Arial"/>
          <w:b/>
          <w:bCs/>
          <w:color w:val="000000" w:themeColor="text1"/>
        </w:rPr>
      </w:pPr>
      <w:r>
        <w:rPr>
          <w:rFonts w:ascii="Arial" w:hAnsi="Arial" w:cs="Arial"/>
          <w:b/>
          <w:bCs/>
          <w:noProof/>
          <w:color w:val="000000" w:themeColor="text1"/>
        </w:rPr>
        <w:drawing>
          <wp:anchor distT="0" distB="0" distL="114300" distR="114300" simplePos="0" relativeHeight="251662336" behindDoc="1" locked="0" layoutInCell="1" allowOverlap="1" wp14:anchorId="74EDC6C0" wp14:editId="263C9A2D">
            <wp:simplePos x="0" y="0"/>
            <wp:positionH relativeFrom="margin">
              <wp:posOffset>-91440</wp:posOffset>
            </wp:positionH>
            <wp:positionV relativeFrom="paragraph">
              <wp:posOffset>307975</wp:posOffset>
            </wp:positionV>
            <wp:extent cx="1927860" cy="706184"/>
            <wp:effectExtent l="0" t="0" r="0" b="0"/>
            <wp:wrapNone/>
            <wp:docPr id="154250827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508272" name="Imagen 154250827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27860" cy="706184"/>
                    </a:xfrm>
                    <a:prstGeom prst="rect">
                      <a:avLst/>
                    </a:prstGeom>
                  </pic:spPr>
                </pic:pic>
              </a:graphicData>
            </a:graphic>
            <wp14:sizeRelH relativeFrom="margin">
              <wp14:pctWidth>0</wp14:pctWidth>
            </wp14:sizeRelH>
            <wp14:sizeRelV relativeFrom="margin">
              <wp14:pctHeight>0</wp14:pctHeight>
            </wp14:sizeRelV>
          </wp:anchor>
        </w:drawing>
      </w:r>
      <w:r w:rsidR="002D5914" w:rsidRPr="00F34EB6">
        <w:rPr>
          <w:rFonts w:ascii="Arial" w:hAnsi="Arial" w:cs="Arial"/>
        </w:rPr>
        <w:t xml:space="preserve">Atentamente </w:t>
      </w:r>
    </w:p>
    <w:p w14:paraId="0321C866" w14:textId="25D8FC6C" w:rsidR="00AE49E9" w:rsidRPr="00F34EB6" w:rsidRDefault="00AE49E9" w:rsidP="00867880">
      <w:pPr>
        <w:spacing w:after="0" w:line="240" w:lineRule="auto"/>
        <w:jc w:val="both"/>
        <w:rPr>
          <w:rFonts w:ascii="Arial" w:hAnsi="Arial" w:cs="Arial"/>
          <w:b/>
          <w:bCs/>
          <w:color w:val="000000" w:themeColor="text1"/>
        </w:rPr>
      </w:pPr>
    </w:p>
    <w:p w14:paraId="31293D17" w14:textId="3FE4CF63" w:rsidR="006044F0" w:rsidRPr="00F34EB6" w:rsidRDefault="006044F0" w:rsidP="00867880">
      <w:pPr>
        <w:spacing w:after="0" w:line="240" w:lineRule="auto"/>
        <w:jc w:val="both"/>
        <w:rPr>
          <w:rFonts w:ascii="Arial" w:hAnsi="Arial" w:cs="Arial"/>
          <w:b/>
          <w:bCs/>
          <w:color w:val="000000" w:themeColor="text1"/>
        </w:rPr>
      </w:pPr>
    </w:p>
    <w:p w14:paraId="668A152D" w14:textId="7DB499B8" w:rsidR="006044F0" w:rsidRPr="00F34EB6" w:rsidRDefault="00AE49E9" w:rsidP="00867880">
      <w:pPr>
        <w:spacing w:after="0" w:line="240" w:lineRule="auto"/>
        <w:jc w:val="both"/>
        <w:rPr>
          <w:rFonts w:ascii="Arial" w:hAnsi="Arial" w:cs="Arial"/>
          <w:b/>
          <w:bCs/>
          <w:color w:val="000000" w:themeColor="text1"/>
        </w:rPr>
      </w:pPr>
      <w:r w:rsidRPr="00F34EB6">
        <w:rPr>
          <w:rFonts w:ascii="Arial" w:hAnsi="Arial" w:cs="Arial"/>
          <w:b/>
          <w:bCs/>
          <w:color w:val="000000" w:themeColor="text1"/>
        </w:rPr>
        <w:t>___________________________</w:t>
      </w:r>
    </w:p>
    <w:p w14:paraId="0722CF75" w14:textId="53CD346C" w:rsidR="001757B9" w:rsidRPr="00F34EB6" w:rsidRDefault="00AE49E9" w:rsidP="00834036">
      <w:pPr>
        <w:spacing w:after="0"/>
        <w:rPr>
          <w:rFonts w:ascii="Arial" w:hAnsi="Arial" w:cs="Arial"/>
          <w:b/>
          <w:bCs/>
          <w:color w:val="000000" w:themeColor="text1"/>
          <w:sz w:val="28"/>
          <w:szCs w:val="28"/>
        </w:rPr>
      </w:pPr>
      <w:r w:rsidRPr="00F34EB6">
        <w:rPr>
          <w:rFonts w:ascii="Arial" w:hAnsi="Arial" w:cs="Arial"/>
          <w:b/>
          <w:bCs/>
          <w:color w:val="000000" w:themeColor="text1"/>
          <w:sz w:val="28"/>
          <w:szCs w:val="28"/>
        </w:rPr>
        <w:t>HERNANDO OSSA LENIS</w:t>
      </w:r>
    </w:p>
    <w:p w14:paraId="226AF71D" w14:textId="3E27E946" w:rsidR="00834036" w:rsidRPr="00F34EB6" w:rsidRDefault="00834036" w:rsidP="00834036">
      <w:pPr>
        <w:spacing w:after="0"/>
        <w:rPr>
          <w:rFonts w:ascii="Arial" w:hAnsi="Arial" w:cs="Arial"/>
          <w:sz w:val="28"/>
          <w:szCs w:val="28"/>
        </w:rPr>
      </w:pPr>
      <w:r w:rsidRPr="00F34EB6">
        <w:rPr>
          <w:rFonts w:ascii="Arial" w:hAnsi="Arial" w:cs="Arial"/>
          <w:color w:val="000000" w:themeColor="text1"/>
          <w:sz w:val="28"/>
          <w:szCs w:val="28"/>
        </w:rPr>
        <w:t xml:space="preserve">Asesor </w:t>
      </w:r>
      <w:r w:rsidR="00AE49E9" w:rsidRPr="00F34EB6">
        <w:rPr>
          <w:rFonts w:ascii="Arial" w:hAnsi="Arial" w:cs="Arial"/>
          <w:color w:val="000000" w:themeColor="text1"/>
          <w:sz w:val="28"/>
          <w:szCs w:val="28"/>
        </w:rPr>
        <w:t xml:space="preserve">de </w:t>
      </w:r>
      <w:r w:rsidRPr="00F34EB6">
        <w:rPr>
          <w:rFonts w:ascii="Arial" w:hAnsi="Arial" w:cs="Arial"/>
          <w:color w:val="000000" w:themeColor="text1"/>
          <w:sz w:val="28"/>
          <w:szCs w:val="28"/>
        </w:rPr>
        <w:t>Control Interno</w:t>
      </w:r>
    </w:p>
    <w:p w14:paraId="70EF035A" w14:textId="77777777" w:rsidR="00867880" w:rsidRPr="00F34EB6" w:rsidRDefault="00867880" w:rsidP="001757B9">
      <w:pPr>
        <w:rPr>
          <w:rFonts w:ascii="Arial" w:hAnsi="Arial" w:cs="Arial"/>
        </w:rPr>
      </w:pPr>
    </w:p>
    <w:p w14:paraId="1CFEF9B4" w14:textId="0B48CB9B" w:rsidR="001757B9" w:rsidRPr="00436362" w:rsidRDefault="005A2EE5" w:rsidP="00436362">
      <w:pPr>
        <w:rPr>
          <w:rFonts w:ascii="Arial" w:hAnsi="Arial" w:cs="Arial"/>
          <w:sz w:val="18"/>
          <w:szCs w:val="18"/>
        </w:rPr>
      </w:pPr>
      <w:r w:rsidRPr="00F34EB6">
        <w:rPr>
          <w:rFonts w:ascii="Arial" w:hAnsi="Arial" w:cs="Arial"/>
          <w:b/>
          <w:bCs/>
          <w:sz w:val="18"/>
          <w:szCs w:val="18"/>
        </w:rPr>
        <w:t>Proyecto:</w:t>
      </w:r>
      <w:r w:rsidRPr="00F34EB6">
        <w:rPr>
          <w:rFonts w:ascii="Arial" w:hAnsi="Arial" w:cs="Arial"/>
          <w:sz w:val="18"/>
          <w:szCs w:val="18"/>
        </w:rPr>
        <w:t xml:space="preserve"> Yor David Fonseca Estrada – Apoyo Control Interno </w:t>
      </w:r>
    </w:p>
    <w:sectPr w:rsidR="001757B9" w:rsidRPr="00436362" w:rsidSect="000B57FA">
      <w:headerReference w:type="default" r:id="rId13"/>
      <w:headerReference w:type="first" r:id="rId14"/>
      <w:pgSz w:w="12240" w:h="18720" w:code="121"/>
      <w:pgMar w:top="1417" w:right="1701" w:bottom="1417" w:left="1701" w:header="28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0ECA0" w14:textId="77777777" w:rsidR="00043EC8" w:rsidRPr="00F34EB6" w:rsidRDefault="00043EC8" w:rsidP="009A7DAF">
      <w:pPr>
        <w:spacing w:after="0" w:line="240" w:lineRule="auto"/>
      </w:pPr>
      <w:r w:rsidRPr="00F34EB6">
        <w:separator/>
      </w:r>
    </w:p>
  </w:endnote>
  <w:endnote w:type="continuationSeparator" w:id="0">
    <w:p w14:paraId="3B381734" w14:textId="77777777" w:rsidR="00043EC8" w:rsidRPr="00F34EB6" w:rsidRDefault="00043EC8" w:rsidP="009A7DAF">
      <w:pPr>
        <w:spacing w:after="0" w:line="240" w:lineRule="auto"/>
      </w:pPr>
      <w:r w:rsidRPr="00F34EB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A46CA" w14:textId="77777777" w:rsidR="00043EC8" w:rsidRPr="00F34EB6" w:rsidRDefault="00043EC8" w:rsidP="009A7DAF">
      <w:pPr>
        <w:spacing w:after="0" w:line="240" w:lineRule="auto"/>
      </w:pPr>
      <w:r w:rsidRPr="00F34EB6">
        <w:separator/>
      </w:r>
    </w:p>
  </w:footnote>
  <w:footnote w:type="continuationSeparator" w:id="0">
    <w:p w14:paraId="229D66C4" w14:textId="77777777" w:rsidR="00043EC8" w:rsidRPr="00F34EB6" w:rsidRDefault="00043EC8" w:rsidP="009A7DAF">
      <w:pPr>
        <w:spacing w:after="0" w:line="240" w:lineRule="auto"/>
      </w:pPr>
      <w:r w:rsidRPr="00F34EB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11411" w:type="dxa"/>
      <w:tblInd w:w="-1139" w:type="dxa"/>
      <w:tblLook w:val="04A0" w:firstRow="1" w:lastRow="0" w:firstColumn="1" w:lastColumn="0" w:noHBand="0" w:noVBand="1"/>
    </w:tblPr>
    <w:tblGrid>
      <w:gridCol w:w="3402"/>
      <w:gridCol w:w="8009"/>
    </w:tblGrid>
    <w:tr w:rsidR="00466569" w:rsidRPr="00F34EB6" w14:paraId="2BF91B67" w14:textId="77777777" w:rsidTr="00267F7D">
      <w:trPr>
        <w:trHeight w:val="1912"/>
      </w:trPr>
      <w:tc>
        <w:tcPr>
          <w:tcW w:w="3402" w:type="dxa"/>
          <w:tcBorders>
            <w:top w:val="single" w:sz="4" w:space="0" w:color="auto"/>
            <w:left w:val="single" w:sz="4" w:space="0" w:color="auto"/>
            <w:bottom w:val="single" w:sz="4" w:space="0" w:color="auto"/>
            <w:right w:val="single" w:sz="4" w:space="0" w:color="auto"/>
          </w:tcBorders>
        </w:tcPr>
        <w:p w14:paraId="2865EAEE" w14:textId="3B1CD710" w:rsidR="00466569" w:rsidRPr="00F34EB6" w:rsidRDefault="00466569" w:rsidP="009A7DAF">
          <w:pPr>
            <w:tabs>
              <w:tab w:val="center" w:pos="4419"/>
              <w:tab w:val="right" w:pos="8838"/>
            </w:tabs>
          </w:pPr>
        </w:p>
        <w:p w14:paraId="68F28373" w14:textId="77777777" w:rsidR="00466569" w:rsidRPr="00F34EB6" w:rsidRDefault="00466569" w:rsidP="009A7DAF">
          <w:pPr>
            <w:tabs>
              <w:tab w:val="center" w:pos="4419"/>
              <w:tab w:val="right" w:pos="8838"/>
            </w:tabs>
          </w:pPr>
        </w:p>
      </w:tc>
      <w:tc>
        <w:tcPr>
          <w:tcW w:w="8009" w:type="dxa"/>
          <w:tcBorders>
            <w:top w:val="single" w:sz="4" w:space="0" w:color="auto"/>
            <w:left w:val="single" w:sz="4" w:space="0" w:color="auto"/>
            <w:right w:val="single" w:sz="4" w:space="0" w:color="auto"/>
          </w:tcBorders>
          <w:vAlign w:val="center"/>
          <w:hideMark/>
        </w:tcPr>
        <w:p w14:paraId="1F66207D" w14:textId="45C1F8B4" w:rsidR="00466569" w:rsidRPr="00F34EB6" w:rsidRDefault="00FD6E64" w:rsidP="00483F0B">
          <w:pPr>
            <w:tabs>
              <w:tab w:val="center" w:pos="4419"/>
              <w:tab w:val="right" w:pos="8838"/>
            </w:tabs>
            <w:jc w:val="center"/>
            <w:rPr>
              <w:sz w:val="20"/>
              <w:szCs w:val="20"/>
            </w:rPr>
          </w:pPr>
          <w:r w:rsidRPr="00F34EB6">
            <w:rPr>
              <w:rFonts w:ascii="Arial" w:hAnsi="Arial" w:cs="Arial"/>
              <w:b/>
              <w:bCs/>
              <w:sz w:val="24"/>
              <w:szCs w:val="24"/>
            </w:rPr>
            <w:t xml:space="preserve">INFORME DE AUSTERIDAD DEL GASTO – </w:t>
          </w:r>
          <w:r>
            <w:rPr>
              <w:rFonts w:ascii="Arial" w:hAnsi="Arial" w:cs="Arial"/>
              <w:b/>
              <w:bCs/>
              <w:sz w:val="24"/>
              <w:szCs w:val="24"/>
            </w:rPr>
            <w:t>CUARTO</w:t>
          </w:r>
          <w:r w:rsidRPr="00F34EB6">
            <w:rPr>
              <w:rFonts w:ascii="Arial" w:hAnsi="Arial" w:cs="Arial"/>
              <w:b/>
              <w:bCs/>
              <w:sz w:val="24"/>
              <w:szCs w:val="24"/>
            </w:rPr>
            <w:t xml:space="preserve"> TRIMESTRE DE 202</w:t>
          </w:r>
          <w:r>
            <w:rPr>
              <w:rFonts w:ascii="Arial" w:hAnsi="Arial" w:cs="Arial"/>
              <w:b/>
              <w:bCs/>
              <w:sz w:val="24"/>
              <w:szCs w:val="24"/>
            </w:rPr>
            <w:t>4</w:t>
          </w:r>
        </w:p>
      </w:tc>
    </w:tr>
  </w:tbl>
  <w:p w14:paraId="7D9EB40C" w14:textId="52B18D70" w:rsidR="009A7DAF" w:rsidRPr="00F34EB6" w:rsidRDefault="00466569">
    <w:pPr>
      <w:pStyle w:val="Encabezado"/>
    </w:pPr>
    <w:r w:rsidRPr="00F34EB6">
      <w:rPr>
        <w:noProof/>
      </w:rPr>
      <w:drawing>
        <wp:anchor distT="0" distB="0" distL="114300" distR="114300" simplePos="0" relativeHeight="251661312" behindDoc="1" locked="0" layoutInCell="1" allowOverlap="1" wp14:anchorId="6AE6A1F5" wp14:editId="041B24E8">
          <wp:simplePos x="0" y="0"/>
          <wp:positionH relativeFrom="page">
            <wp:posOffset>-142875</wp:posOffset>
          </wp:positionH>
          <wp:positionV relativeFrom="page">
            <wp:posOffset>80010</wp:posOffset>
          </wp:positionV>
          <wp:extent cx="7943850" cy="11525250"/>
          <wp:effectExtent l="0" t="0" r="0" b="0"/>
          <wp:wrapNone/>
          <wp:docPr id="850091062" name="Imagen 3"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394217" name="Imagen 3" descr="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0" cy="115252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11411" w:type="dxa"/>
      <w:jc w:val="center"/>
      <w:tblLook w:val="04A0" w:firstRow="1" w:lastRow="0" w:firstColumn="1" w:lastColumn="0" w:noHBand="0" w:noVBand="1"/>
    </w:tblPr>
    <w:tblGrid>
      <w:gridCol w:w="3402"/>
      <w:gridCol w:w="8009"/>
    </w:tblGrid>
    <w:tr w:rsidR="000B57FA" w:rsidRPr="00F34EB6" w14:paraId="165AFB07" w14:textId="77777777" w:rsidTr="000B57FA">
      <w:trPr>
        <w:trHeight w:val="1474"/>
        <w:jc w:val="center"/>
      </w:trPr>
      <w:tc>
        <w:tcPr>
          <w:tcW w:w="3402" w:type="dxa"/>
          <w:tcBorders>
            <w:top w:val="single" w:sz="4" w:space="0" w:color="auto"/>
            <w:left w:val="single" w:sz="4" w:space="0" w:color="auto"/>
            <w:bottom w:val="single" w:sz="4" w:space="0" w:color="auto"/>
            <w:right w:val="single" w:sz="4" w:space="0" w:color="auto"/>
          </w:tcBorders>
        </w:tcPr>
        <w:p w14:paraId="3CB8FE69" w14:textId="77777777" w:rsidR="000B57FA" w:rsidRPr="00F34EB6" w:rsidRDefault="000B57FA" w:rsidP="000B57FA">
          <w:pPr>
            <w:tabs>
              <w:tab w:val="center" w:pos="4419"/>
              <w:tab w:val="right" w:pos="8838"/>
            </w:tabs>
          </w:pPr>
        </w:p>
        <w:p w14:paraId="2004D757" w14:textId="77777777" w:rsidR="000B57FA" w:rsidRPr="00F34EB6" w:rsidRDefault="000B57FA" w:rsidP="000B57FA">
          <w:pPr>
            <w:tabs>
              <w:tab w:val="center" w:pos="4419"/>
              <w:tab w:val="right" w:pos="8838"/>
            </w:tabs>
          </w:pPr>
        </w:p>
      </w:tc>
      <w:tc>
        <w:tcPr>
          <w:tcW w:w="8009" w:type="dxa"/>
          <w:tcBorders>
            <w:top w:val="single" w:sz="4" w:space="0" w:color="auto"/>
            <w:left w:val="single" w:sz="4" w:space="0" w:color="auto"/>
            <w:right w:val="single" w:sz="4" w:space="0" w:color="auto"/>
          </w:tcBorders>
          <w:vAlign w:val="center"/>
          <w:hideMark/>
        </w:tcPr>
        <w:p w14:paraId="6804AC83" w14:textId="59A41271" w:rsidR="000B57FA" w:rsidRPr="00F34EB6" w:rsidRDefault="00483F0B" w:rsidP="00483F0B">
          <w:pPr>
            <w:jc w:val="center"/>
            <w:rPr>
              <w:rFonts w:ascii="Arial" w:hAnsi="Arial" w:cs="Arial"/>
              <w:b/>
              <w:bCs/>
            </w:rPr>
          </w:pPr>
          <w:r w:rsidRPr="00F34EB6">
            <w:rPr>
              <w:rFonts w:ascii="Arial" w:hAnsi="Arial" w:cs="Arial"/>
              <w:b/>
              <w:bCs/>
              <w:sz w:val="24"/>
              <w:szCs w:val="24"/>
            </w:rPr>
            <w:t xml:space="preserve">INFORME </w:t>
          </w:r>
          <w:r w:rsidR="0030573E" w:rsidRPr="00F34EB6">
            <w:rPr>
              <w:rFonts w:ascii="Arial" w:hAnsi="Arial" w:cs="Arial"/>
              <w:b/>
              <w:bCs/>
              <w:sz w:val="24"/>
              <w:szCs w:val="24"/>
            </w:rPr>
            <w:t xml:space="preserve">DE AUSTERIDAD DEL GASTO – </w:t>
          </w:r>
          <w:r w:rsidR="00FD6E64">
            <w:rPr>
              <w:rFonts w:ascii="Arial" w:hAnsi="Arial" w:cs="Arial"/>
              <w:b/>
              <w:bCs/>
              <w:sz w:val="24"/>
              <w:szCs w:val="24"/>
            </w:rPr>
            <w:t>CUARTO</w:t>
          </w:r>
          <w:r w:rsidR="0030573E" w:rsidRPr="00F34EB6">
            <w:rPr>
              <w:rFonts w:ascii="Arial" w:hAnsi="Arial" w:cs="Arial"/>
              <w:b/>
              <w:bCs/>
              <w:sz w:val="24"/>
              <w:szCs w:val="24"/>
            </w:rPr>
            <w:t xml:space="preserve"> TRIMESTRE DE 202</w:t>
          </w:r>
          <w:r w:rsidR="00FD6E64">
            <w:rPr>
              <w:rFonts w:ascii="Arial" w:hAnsi="Arial" w:cs="Arial"/>
              <w:b/>
              <w:bCs/>
              <w:sz w:val="24"/>
              <w:szCs w:val="24"/>
            </w:rPr>
            <w:t>4</w:t>
          </w:r>
          <w:r w:rsidRPr="00F34EB6">
            <w:rPr>
              <w:rFonts w:ascii="Arial" w:hAnsi="Arial" w:cs="Arial"/>
              <w:b/>
              <w:bCs/>
              <w:sz w:val="24"/>
              <w:szCs w:val="24"/>
            </w:rPr>
            <w:t xml:space="preserve"> </w:t>
          </w:r>
        </w:p>
      </w:tc>
    </w:tr>
  </w:tbl>
  <w:p w14:paraId="1C378FD0" w14:textId="6377416D" w:rsidR="000B57FA" w:rsidRPr="00F34EB6" w:rsidRDefault="000B57FA">
    <w:pPr>
      <w:pStyle w:val="Encabezado"/>
    </w:pPr>
    <w:r w:rsidRPr="00F34EB6">
      <w:rPr>
        <w:noProof/>
      </w:rPr>
      <w:drawing>
        <wp:anchor distT="0" distB="0" distL="114300" distR="114300" simplePos="0" relativeHeight="251663360" behindDoc="1" locked="0" layoutInCell="1" allowOverlap="1" wp14:anchorId="7115D679" wp14:editId="5929D328">
          <wp:simplePos x="0" y="0"/>
          <wp:positionH relativeFrom="page">
            <wp:posOffset>-238125</wp:posOffset>
          </wp:positionH>
          <wp:positionV relativeFrom="page">
            <wp:posOffset>-56515</wp:posOffset>
          </wp:positionV>
          <wp:extent cx="7943850" cy="11525250"/>
          <wp:effectExtent l="0" t="0" r="0" b="0"/>
          <wp:wrapNone/>
          <wp:docPr id="756469249" name="Imagen 3"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394217" name="Imagen 3" descr="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0" cy="115252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6534D"/>
    <w:multiLevelType w:val="multilevel"/>
    <w:tmpl w:val="1FCC3C1C"/>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15260D38"/>
    <w:multiLevelType w:val="multilevel"/>
    <w:tmpl w:val="1FCC3C1C"/>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 w15:restartNumberingAfterBreak="0">
    <w:nsid w:val="17833722"/>
    <w:multiLevelType w:val="multilevel"/>
    <w:tmpl w:val="1FCC3C1C"/>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 w15:restartNumberingAfterBreak="0">
    <w:nsid w:val="2223582D"/>
    <w:multiLevelType w:val="multilevel"/>
    <w:tmpl w:val="2892DDD2"/>
    <w:lvl w:ilvl="0">
      <w:start w:val="1"/>
      <w:numFmt w:val="bullet"/>
      <w:lvlText w:val=""/>
      <w:lvlJc w:val="left"/>
      <w:pPr>
        <w:ind w:left="360" w:hanging="360"/>
      </w:pPr>
      <w:rPr>
        <w:rFonts w:ascii="Symbol" w:hAnsi="Symbol" w:hint="default"/>
      </w:rPr>
    </w:lvl>
    <w:lvl w:ilvl="1">
      <w:start w:val="1"/>
      <w:numFmt w:val="decimal"/>
      <w:isLgl/>
      <w:lvlText w:val="%1.%2."/>
      <w:lvlJc w:val="left"/>
      <w:pPr>
        <w:ind w:left="1080" w:hanging="720"/>
      </w:pPr>
      <w:rPr>
        <w:rFonts w:hint="default"/>
        <w:b/>
        <w:bCs/>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 w15:restartNumberingAfterBreak="0">
    <w:nsid w:val="24756750"/>
    <w:multiLevelType w:val="hybridMultilevel"/>
    <w:tmpl w:val="1D26BDC2"/>
    <w:lvl w:ilvl="0" w:tplc="C864534A">
      <w:start w:val="1"/>
      <w:numFmt w:val="bullet"/>
      <w:lvlText w:val=""/>
      <w:lvlJc w:val="left"/>
      <w:pPr>
        <w:ind w:left="786" w:hanging="360"/>
      </w:pPr>
      <w:rPr>
        <w:rFonts w:ascii="Wingdings" w:hAnsi="Wingdings" w:hint="default"/>
        <w:sz w:val="22"/>
        <w:szCs w:val="22"/>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5" w15:restartNumberingAfterBreak="0">
    <w:nsid w:val="247E25C0"/>
    <w:multiLevelType w:val="hybridMultilevel"/>
    <w:tmpl w:val="4A6C741A"/>
    <w:lvl w:ilvl="0" w:tplc="66A2B3A4">
      <w:start w:val="1"/>
      <w:numFmt w:val="bullet"/>
      <w:lvlText w:val=""/>
      <w:lvlJc w:val="left"/>
      <w:pPr>
        <w:ind w:left="360" w:hanging="360"/>
      </w:pPr>
      <w:rPr>
        <w:rFonts w:ascii="Symbol" w:hAnsi="Symbol" w:hint="default"/>
        <w:sz w:val="22"/>
        <w:szCs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28C702EE"/>
    <w:multiLevelType w:val="hybridMultilevel"/>
    <w:tmpl w:val="864A46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30D75B21"/>
    <w:multiLevelType w:val="hybridMultilevel"/>
    <w:tmpl w:val="53C2B8E4"/>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597243F"/>
    <w:multiLevelType w:val="hybridMultilevel"/>
    <w:tmpl w:val="7D7096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933067C"/>
    <w:multiLevelType w:val="hybridMultilevel"/>
    <w:tmpl w:val="F6E6980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3C1D6A85"/>
    <w:multiLevelType w:val="multilevel"/>
    <w:tmpl w:val="66AE9C5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E28403C"/>
    <w:multiLevelType w:val="multilevel"/>
    <w:tmpl w:val="1FCC3C1C"/>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3FCD5F91"/>
    <w:multiLevelType w:val="multilevel"/>
    <w:tmpl w:val="275E980A"/>
    <w:lvl w:ilvl="0">
      <w:start w:val="3"/>
      <w:numFmt w:val="decimal"/>
      <w:lvlText w:val="%1."/>
      <w:lvlJc w:val="left"/>
      <w:pPr>
        <w:ind w:left="390" w:hanging="390"/>
      </w:pPr>
      <w:rPr>
        <w:rFonts w:hint="default"/>
        <w:b/>
      </w:rPr>
    </w:lvl>
    <w:lvl w:ilvl="1">
      <w:start w:val="2"/>
      <w:numFmt w:val="decimal"/>
      <w:lvlText w:val="%1.%2."/>
      <w:lvlJc w:val="left"/>
      <w:pPr>
        <w:ind w:left="216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13" w15:restartNumberingAfterBreak="0">
    <w:nsid w:val="42237C7A"/>
    <w:multiLevelType w:val="hybridMultilevel"/>
    <w:tmpl w:val="303013E8"/>
    <w:lvl w:ilvl="0" w:tplc="F7B0CB6A">
      <w:start w:val="1"/>
      <w:numFmt w:val="decimal"/>
      <w:lvlText w:val="%1."/>
      <w:lvlJc w:val="left"/>
      <w:pPr>
        <w:ind w:left="720" w:hanging="360"/>
      </w:pPr>
      <w:rPr>
        <w:rFonts w:hint="default"/>
        <w:b/>
        <w:bCs/>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5E359A5"/>
    <w:multiLevelType w:val="multilevel"/>
    <w:tmpl w:val="B784EBAC"/>
    <w:lvl w:ilvl="0">
      <w:start w:val="3"/>
      <w:numFmt w:val="decimal"/>
      <w:lvlText w:val="%1."/>
      <w:lvlJc w:val="left"/>
      <w:pPr>
        <w:ind w:left="390" w:hanging="390"/>
      </w:pPr>
      <w:rPr>
        <w:rFonts w:hint="default"/>
        <w:b/>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5" w15:restartNumberingAfterBreak="0">
    <w:nsid w:val="69CD26A5"/>
    <w:multiLevelType w:val="multilevel"/>
    <w:tmpl w:val="76B8E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7477DC"/>
    <w:multiLevelType w:val="hybridMultilevel"/>
    <w:tmpl w:val="FEF6BD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0D01D3F"/>
    <w:multiLevelType w:val="hybridMultilevel"/>
    <w:tmpl w:val="5CA0E92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5CB4D4B"/>
    <w:multiLevelType w:val="multilevel"/>
    <w:tmpl w:val="1A2C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EF10BA"/>
    <w:multiLevelType w:val="multilevel"/>
    <w:tmpl w:val="1FCC3C1C"/>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0" w15:restartNumberingAfterBreak="0">
    <w:nsid w:val="7AE57EB7"/>
    <w:multiLevelType w:val="multilevel"/>
    <w:tmpl w:val="3F0656C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002060"/>
      </w:rPr>
    </w:lvl>
    <w:lvl w:ilvl="2">
      <w:start w:val="1"/>
      <w:numFmt w:val="decimal"/>
      <w:isLgl/>
      <w:lvlText w:val="%1.%2.%3."/>
      <w:lvlJc w:val="left"/>
      <w:pPr>
        <w:ind w:left="1080" w:hanging="720"/>
      </w:pPr>
      <w:rPr>
        <w:rFonts w:hint="default"/>
        <w:color w:val="002060"/>
      </w:rPr>
    </w:lvl>
    <w:lvl w:ilvl="3">
      <w:start w:val="1"/>
      <w:numFmt w:val="decimal"/>
      <w:isLgl/>
      <w:lvlText w:val="%1.%2.%3.%4."/>
      <w:lvlJc w:val="left"/>
      <w:pPr>
        <w:ind w:left="1080" w:hanging="720"/>
      </w:pPr>
      <w:rPr>
        <w:rFonts w:hint="default"/>
        <w:color w:val="002060"/>
      </w:rPr>
    </w:lvl>
    <w:lvl w:ilvl="4">
      <w:start w:val="1"/>
      <w:numFmt w:val="decimal"/>
      <w:isLgl/>
      <w:lvlText w:val="%1.%2.%3.%4.%5."/>
      <w:lvlJc w:val="left"/>
      <w:pPr>
        <w:ind w:left="1440" w:hanging="1080"/>
      </w:pPr>
      <w:rPr>
        <w:rFonts w:hint="default"/>
        <w:color w:val="002060"/>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1" w15:restartNumberingAfterBreak="0">
    <w:nsid w:val="7F2D416B"/>
    <w:multiLevelType w:val="multilevel"/>
    <w:tmpl w:val="E42C2B66"/>
    <w:lvl w:ilvl="0">
      <w:start w:val="3"/>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num w:numId="1" w16cid:durableId="299580809">
    <w:abstractNumId w:val="16"/>
  </w:num>
  <w:num w:numId="2" w16cid:durableId="1675643887">
    <w:abstractNumId w:val="3"/>
  </w:num>
  <w:num w:numId="3" w16cid:durableId="993490242">
    <w:abstractNumId w:val="9"/>
  </w:num>
  <w:num w:numId="4" w16cid:durableId="1110121726">
    <w:abstractNumId w:val="8"/>
  </w:num>
  <w:num w:numId="5" w16cid:durableId="1037856442">
    <w:abstractNumId w:val="6"/>
  </w:num>
  <w:num w:numId="6" w16cid:durableId="1372223488">
    <w:abstractNumId w:val="13"/>
  </w:num>
  <w:num w:numId="7" w16cid:durableId="669254950">
    <w:abstractNumId w:val="21"/>
  </w:num>
  <w:num w:numId="8" w16cid:durableId="846097996">
    <w:abstractNumId w:val="12"/>
  </w:num>
  <w:num w:numId="9" w16cid:durableId="843282968">
    <w:abstractNumId w:val="10"/>
  </w:num>
  <w:num w:numId="10" w16cid:durableId="1478767070">
    <w:abstractNumId w:val="14"/>
  </w:num>
  <w:num w:numId="11" w16cid:durableId="1752462092">
    <w:abstractNumId w:val="11"/>
  </w:num>
  <w:num w:numId="12" w16cid:durableId="1315063149">
    <w:abstractNumId w:val="15"/>
  </w:num>
  <w:num w:numId="13" w16cid:durableId="959459962">
    <w:abstractNumId w:val="18"/>
  </w:num>
  <w:num w:numId="14" w16cid:durableId="1957984601">
    <w:abstractNumId w:val="7"/>
  </w:num>
  <w:num w:numId="15" w16cid:durableId="1547831137">
    <w:abstractNumId w:val="5"/>
  </w:num>
  <w:num w:numId="16" w16cid:durableId="1779062038">
    <w:abstractNumId w:val="17"/>
  </w:num>
  <w:num w:numId="17" w16cid:durableId="1732997065">
    <w:abstractNumId w:val="0"/>
  </w:num>
  <w:num w:numId="18" w16cid:durableId="701052307">
    <w:abstractNumId w:val="20"/>
  </w:num>
  <w:num w:numId="19" w16cid:durableId="1710295271">
    <w:abstractNumId w:val="19"/>
  </w:num>
  <w:num w:numId="20" w16cid:durableId="1294868611">
    <w:abstractNumId w:val="1"/>
  </w:num>
  <w:num w:numId="21" w16cid:durableId="2105180145">
    <w:abstractNumId w:val="4"/>
  </w:num>
  <w:num w:numId="22" w16cid:durableId="13482170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DC7"/>
    <w:rsid w:val="000024A2"/>
    <w:rsid w:val="00002565"/>
    <w:rsid w:val="00034662"/>
    <w:rsid w:val="000405FA"/>
    <w:rsid w:val="00043EC8"/>
    <w:rsid w:val="00062261"/>
    <w:rsid w:val="00070DC2"/>
    <w:rsid w:val="000840DB"/>
    <w:rsid w:val="000B2361"/>
    <w:rsid w:val="000B57FA"/>
    <w:rsid w:val="000B716E"/>
    <w:rsid w:val="000D1240"/>
    <w:rsid w:val="000F0628"/>
    <w:rsid w:val="00105302"/>
    <w:rsid w:val="00113A2F"/>
    <w:rsid w:val="0012766B"/>
    <w:rsid w:val="001317C5"/>
    <w:rsid w:val="001447BD"/>
    <w:rsid w:val="0016691C"/>
    <w:rsid w:val="00170F95"/>
    <w:rsid w:val="001757B9"/>
    <w:rsid w:val="00191271"/>
    <w:rsid w:val="00193927"/>
    <w:rsid w:val="001C1504"/>
    <w:rsid w:val="001D153A"/>
    <w:rsid w:val="001F1128"/>
    <w:rsid w:val="00205D18"/>
    <w:rsid w:val="00206F53"/>
    <w:rsid w:val="00213B2F"/>
    <w:rsid w:val="00220167"/>
    <w:rsid w:val="00220B56"/>
    <w:rsid w:val="00247D93"/>
    <w:rsid w:val="00263E3A"/>
    <w:rsid w:val="002662B0"/>
    <w:rsid w:val="002735E9"/>
    <w:rsid w:val="002754C6"/>
    <w:rsid w:val="00285144"/>
    <w:rsid w:val="002875AB"/>
    <w:rsid w:val="002975C1"/>
    <w:rsid w:val="002C4005"/>
    <w:rsid w:val="002D39B2"/>
    <w:rsid w:val="002D3A90"/>
    <w:rsid w:val="002D5914"/>
    <w:rsid w:val="002D7E0E"/>
    <w:rsid w:val="002F6DF7"/>
    <w:rsid w:val="00300247"/>
    <w:rsid w:val="0030573E"/>
    <w:rsid w:val="003159D0"/>
    <w:rsid w:val="003415DC"/>
    <w:rsid w:val="003811EA"/>
    <w:rsid w:val="00390370"/>
    <w:rsid w:val="003913B4"/>
    <w:rsid w:val="00392908"/>
    <w:rsid w:val="003B5782"/>
    <w:rsid w:val="003C0728"/>
    <w:rsid w:val="003C688B"/>
    <w:rsid w:val="003D42DE"/>
    <w:rsid w:val="00411384"/>
    <w:rsid w:val="00423060"/>
    <w:rsid w:val="00423C87"/>
    <w:rsid w:val="00436362"/>
    <w:rsid w:val="00445844"/>
    <w:rsid w:val="004628A4"/>
    <w:rsid w:val="00462D24"/>
    <w:rsid w:val="00466569"/>
    <w:rsid w:val="00481DF8"/>
    <w:rsid w:val="00483F0B"/>
    <w:rsid w:val="00495553"/>
    <w:rsid w:val="004A6CB0"/>
    <w:rsid w:val="004C2801"/>
    <w:rsid w:val="004C5878"/>
    <w:rsid w:val="004C5CE7"/>
    <w:rsid w:val="004C6348"/>
    <w:rsid w:val="004D517A"/>
    <w:rsid w:val="004E4FDA"/>
    <w:rsid w:val="004F7283"/>
    <w:rsid w:val="00503DC7"/>
    <w:rsid w:val="00516B90"/>
    <w:rsid w:val="005246D3"/>
    <w:rsid w:val="00525652"/>
    <w:rsid w:val="00536892"/>
    <w:rsid w:val="00580AED"/>
    <w:rsid w:val="00583404"/>
    <w:rsid w:val="00586902"/>
    <w:rsid w:val="005929EA"/>
    <w:rsid w:val="005A2EE5"/>
    <w:rsid w:val="005A5CF6"/>
    <w:rsid w:val="005B19BB"/>
    <w:rsid w:val="005C3978"/>
    <w:rsid w:val="005C480B"/>
    <w:rsid w:val="005E29CD"/>
    <w:rsid w:val="005F77E4"/>
    <w:rsid w:val="006044F0"/>
    <w:rsid w:val="00616F87"/>
    <w:rsid w:val="006A449B"/>
    <w:rsid w:val="006A7BA3"/>
    <w:rsid w:val="006B6CC3"/>
    <w:rsid w:val="006C298A"/>
    <w:rsid w:val="006D3827"/>
    <w:rsid w:val="006F5595"/>
    <w:rsid w:val="00714A28"/>
    <w:rsid w:val="00715AE1"/>
    <w:rsid w:val="007338F7"/>
    <w:rsid w:val="00752965"/>
    <w:rsid w:val="00752FEB"/>
    <w:rsid w:val="00773AAD"/>
    <w:rsid w:val="007834D6"/>
    <w:rsid w:val="00785308"/>
    <w:rsid w:val="0079016F"/>
    <w:rsid w:val="007944BD"/>
    <w:rsid w:val="007960E8"/>
    <w:rsid w:val="00797B81"/>
    <w:rsid w:val="007A66AB"/>
    <w:rsid w:val="007B036F"/>
    <w:rsid w:val="007C5FBA"/>
    <w:rsid w:val="007E3009"/>
    <w:rsid w:val="00816E48"/>
    <w:rsid w:val="008326DD"/>
    <w:rsid w:val="00834036"/>
    <w:rsid w:val="00834B84"/>
    <w:rsid w:val="00862979"/>
    <w:rsid w:val="0086682E"/>
    <w:rsid w:val="00867880"/>
    <w:rsid w:val="00870D65"/>
    <w:rsid w:val="00887B00"/>
    <w:rsid w:val="008D53AA"/>
    <w:rsid w:val="008F7596"/>
    <w:rsid w:val="00901BC3"/>
    <w:rsid w:val="00906795"/>
    <w:rsid w:val="0091178C"/>
    <w:rsid w:val="00915E11"/>
    <w:rsid w:val="00921FAB"/>
    <w:rsid w:val="009410FE"/>
    <w:rsid w:val="009544A4"/>
    <w:rsid w:val="00956081"/>
    <w:rsid w:val="00957AE7"/>
    <w:rsid w:val="0096038C"/>
    <w:rsid w:val="009A0AFF"/>
    <w:rsid w:val="009A1C1E"/>
    <w:rsid w:val="009A7DAF"/>
    <w:rsid w:val="009B031A"/>
    <w:rsid w:val="009B7E76"/>
    <w:rsid w:val="009C1D90"/>
    <w:rsid w:val="009D0783"/>
    <w:rsid w:val="009F06FC"/>
    <w:rsid w:val="009F254E"/>
    <w:rsid w:val="009F6767"/>
    <w:rsid w:val="00A31177"/>
    <w:rsid w:val="00A519B6"/>
    <w:rsid w:val="00A60BFA"/>
    <w:rsid w:val="00A9171C"/>
    <w:rsid w:val="00AC318D"/>
    <w:rsid w:val="00AE219A"/>
    <w:rsid w:val="00AE49E9"/>
    <w:rsid w:val="00AE6F46"/>
    <w:rsid w:val="00AF6100"/>
    <w:rsid w:val="00AF7B7A"/>
    <w:rsid w:val="00B12A88"/>
    <w:rsid w:val="00B200EF"/>
    <w:rsid w:val="00B230E5"/>
    <w:rsid w:val="00B35B96"/>
    <w:rsid w:val="00B540C8"/>
    <w:rsid w:val="00B5619A"/>
    <w:rsid w:val="00B61745"/>
    <w:rsid w:val="00B87EBB"/>
    <w:rsid w:val="00B91CDD"/>
    <w:rsid w:val="00BB7154"/>
    <w:rsid w:val="00BE259B"/>
    <w:rsid w:val="00C01A0E"/>
    <w:rsid w:val="00C05509"/>
    <w:rsid w:val="00C1145D"/>
    <w:rsid w:val="00C2698F"/>
    <w:rsid w:val="00C52FF1"/>
    <w:rsid w:val="00C62B06"/>
    <w:rsid w:val="00C6594C"/>
    <w:rsid w:val="00C833ED"/>
    <w:rsid w:val="00C83B25"/>
    <w:rsid w:val="00CA0012"/>
    <w:rsid w:val="00CB086B"/>
    <w:rsid w:val="00CB23EE"/>
    <w:rsid w:val="00CC6835"/>
    <w:rsid w:val="00CE1E5E"/>
    <w:rsid w:val="00CE682D"/>
    <w:rsid w:val="00CF3A58"/>
    <w:rsid w:val="00CF524D"/>
    <w:rsid w:val="00D04A3F"/>
    <w:rsid w:val="00D12A1D"/>
    <w:rsid w:val="00D2276C"/>
    <w:rsid w:val="00D470CC"/>
    <w:rsid w:val="00D50F40"/>
    <w:rsid w:val="00D65E9F"/>
    <w:rsid w:val="00D77429"/>
    <w:rsid w:val="00D8261D"/>
    <w:rsid w:val="00D90DDE"/>
    <w:rsid w:val="00DA4297"/>
    <w:rsid w:val="00DB4CCE"/>
    <w:rsid w:val="00DC39A1"/>
    <w:rsid w:val="00DC6ED3"/>
    <w:rsid w:val="00E27AEF"/>
    <w:rsid w:val="00E60655"/>
    <w:rsid w:val="00E64961"/>
    <w:rsid w:val="00E73320"/>
    <w:rsid w:val="00E76358"/>
    <w:rsid w:val="00E7677F"/>
    <w:rsid w:val="00E9033B"/>
    <w:rsid w:val="00E957A7"/>
    <w:rsid w:val="00EA3E2D"/>
    <w:rsid w:val="00EA7CD8"/>
    <w:rsid w:val="00EB474A"/>
    <w:rsid w:val="00ED2DF6"/>
    <w:rsid w:val="00ED79DE"/>
    <w:rsid w:val="00EF59EA"/>
    <w:rsid w:val="00F3159A"/>
    <w:rsid w:val="00F34EB6"/>
    <w:rsid w:val="00F455A0"/>
    <w:rsid w:val="00F51926"/>
    <w:rsid w:val="00F716EC"/>
    <w:rsid w:val="00FC3FDD"/>
    <w:rsid w:val="00FD6E64"/>
    <w:rsid w:val="00FD7CF1"/>
    <w:rsid w:val="00FE44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FAF81"/>
  <w15:chartTrackingRefBased/>
  <w15:docId w15:val="{982C9FDF-3392-4BCE-A480-1910B23F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O"/>
    </w:rPr>
  </w:style>
  <w:style w:type="paragraph" w:styleId="Ttulo1">
    <w:name w:val="heading 1"/>
    <w:basedOn w:val="Normal"/>
    <w:next w:val="Normal"/>
    <w:link w:val="Ttulo1Car"/>
    <w:uiPriority w:val="9"/>
    <w:qFormat/>
    <w:rsid w:val="00503D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03D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03DC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503DC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03DC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03DC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03DC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03DC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03DC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3DC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03DC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03DC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503DC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03DC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03DC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03DC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03DC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03DC7"/>
    <w:rPr>
      <w:rFonts w:eastAsiaTheme="majorEastAsia" w:cstheme="majorBidi"/>
      <w:color w:val="272727" w:themeColor="text1" w:themeTint="D8"/>
    </w:rPr>
  </w:style>
  <w:style w:type="paragraph" w:styleId="Ttulo">
    <w:name w:val="Title"/>
    <w:basedOn w:val="Normal"/>
    <w:next w:val="Normal"/>
    <w:link w:val="TtuloCar"/>
    <w:uiPriority w:val="10"/>
    <w:qFormat/>
    <w:rsid w:val="00503D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03DC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03DC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03DC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03DC7"/>
    <w:pPr>
      <w:spacing w:before="160"/>
      <w:jc w:val="center"/>
    </w:pPr>
    <w:rPr>
      <w:i/>
      <w:iCs/>
      <w:color w:val="404040" w:themeColor="text1" w:themeTint="BF"/>
    </w:rPr>
  </w:style>
  <w:style w:type="character" w:customStyle="1" w:styleId="CitaCar">
    <w:name w:val="Cita Car"/>
    <w:basedOn w:val="Fuentedeprrafopredeter"/>
    <w:link w:val="Cita"/>
    <w:uiPriority w:val="29"/>
    <w:rsid w:val="00503DC7"/>
    <w:rPr>
      <w:i/>
      <w:iCs/>
      <w:color w:val="404040" w:themeColor="text1" w:themeTint="BF"/>
    </w:rPr>
  </w:style>
  <w:style w:type="paragraph" w:styleId="Prrafodelista">
    <w:name w:val="List Paragraph"/>
    <w:aliases w:val="Bullets,Ha,titulo 3,HOJA,Bolita,Párrafo de lista4,BOLADEF,Párrafo de lista3,Párrafo de lista21,BOLA,Nivel 1 OS,Normal_viñetas_ICONTEC,Chulito,parrafo,Párrafo de lista1"/>
    <w:basedOn w:val="Normal"/>
    <w:link w:val="PrrafodelistaCar"/>
    <w:uiPriority w:val="34"/>
    <w:qFormat/>
    <w:rsid w:val="00503DC7"/>
    <w:pPr>
      <w:ind w:left="720"/>
      <w:contextualSpacing/>
    </w:pPr>
  </w:style>
  <w:style w:type="character" w:styleId="nfasisintenso">
    <w:name w:val="Intense Emphasis"/>
    <w:basedOn w:val="Fuentedeprrafopredeter"/>
    <w:uiPriority w:val="21"/>
    <w:qFormat/>
    <w:rsid w:val="00503DC7"/>
    <w:rPr>
      <w:i/>
      <w:iCs/>
      <w:color w:val="0F4761" w:themeColor="accent1" w:themeShade="BF"/>
    </w:rPr>
  </w:style>
  <w:style w:type="paragraph" w:styleId="Citadestacada">
    <w:name w:val="Intense Quote"/>
    <w:basedOn w:val="Normal"/>
    <w:next w:val="Normal"/>
    <w:link w:val="CitadestacadaCar"/>
    <w:uiPriority w:val="30"/>
    <w:qFormat/>
    <w:rsid w:val="00503D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03DC7"/>
    <w:rPr>
      <w:i/>
      <w:iCs/>
      <w:color w:val="0F4761" w:themeColor="accent1" w:themeShade="BF"/>
    </w:rPr>
  </w:style>
  <w:style w:type="character" w:styleId="Referenciaintensa">
    <w:name w:val="Intense Reference"/>
    <w:basedOn w:val="Fuentedeprrafopredeter"/>
    <w:uiPriority w:val="32"/>
    <w:qFormat/>
    <w:rsid w:val="00503DC7"/>
    <w:rPr>
      <w:b/>
      <w:bCs/>
      <w:smallCaps/>
      <w:color w:val="0F4761" w:themeColor="accent1" w:themeShade="BF"/>
      <w:spacing w:val="5"/>
    </w:rPr>
  </w:style>
  <w:style w:type="paragraph" w:styleId="Encabezado">
    <w:name w:val="header"/>
    <w:basedOn w:val="Normal"/>
    <w:link w:val="EncabezadoCar"/>
    <w:uiPriority w:val="99"/>
    <w:unhideWhenUsed/>
    <w:rsid w:val="009A7DA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7DAF"/>
  </w:style>
  <w:style w:type="paragraph" w:styleId="Piedepgina">
    <w:name w:val="footer"/>
    <w:basedOn w:val="Normal"/>
    <w:link w:val="PiedepginaCar"/>
    <w:uiPriority w:val="99"/>
    <w:unhideWhenUsed/>
    <w:rsid w:val="009A7DA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7DAF"/>
  </w:style>
  <w:style w:type="table" w:customStyle="1" w:styleId="Tablaconcuadrcula1">
    <w:name w:val="Tabla con cuadrícula1"/>
    <w:basedOn w:val="Tablanormal"/>
    <w:next w:val="Tablaconcuadrcula"/>
    <w:uiPriority w:val="39"/>
    <w:rsid w:val="009A7DAF"/>
    <w:pPr>
      <w:spacing w:after="0" w:line="240" w:lineRule="auto"/>
    </w:pPr>
    <w:rPr>
      <w:kern w:val="0"/>
      <w:sz w:val="22"/>
      <w:szCs w:val="22"/>
      <w:lang w:val="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9A7D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s Car,Ha Car,titulo 3 Car,HOJA Car,Bolita Car,Párrafo de lista4 Car,BOLADEF Car,Párrafo de lista3 Car,Párrafo de lista21 Car,BOLA Car,Nivel 1 OS Car,Normal_viñetas_ICONTEC Car,Chulito Car,parrafo Car,Párrafo de lista1 Car"/>
    <w:link w:val="Prrafodelista"/>
    <w:uiPriority w:val="34"/>
    <w:rsid w:val="007338F7"/>
  </w:style>
  <w:style w:type="character" w:styleId="Hipervnculo">
    <w:name w:val="Hyperlink"/>
    <w:basedOn w:val="Fuentedeprrafopredeter"/>
    <w:uiPriority w:val="99"/>
    <w:unhideWhenUsed/>
    <w:rsid w:val="00F716EC"/>
    <w:rPr>
      <w:color w:val="467886" w:themeColor="hyperlink"/>
      <w:u w:val="single"/>
    </w:rPr>
  </w:style>
  <w:style w:type="character" w:styleId="Mencinsinresolver">
    <w:name w:val="Unresolved Mention"/>
    <w:basedOn w:val="Fuentedeprrafopredeter"/>
    <w:uiPriority w:val="99"/>
    <w:semiHidden/>
    <w:unhideWhenUsed/>
    <w:rsid w:val="00F716EC"/>
    <w:rPr>
      <w:color w:val="605E5C"/>
      <w:shd w:val="clear" w:color="auto" w:fill="E1DFDD"/>
    </w:rPr>
  </w:style>
  <w:style w:type="paragraph" w:styleId="TtuloTDC">
    <w:name w:val="TOC Heading"/>
    <w:basedOn w:val="Ttulo1"/>
    <w:next w:val="Normal"/>
    <w:uiPriority w:val="39"/>
    <w:unhideWhenUsed/>
    <w:qFormat/>
    <w:rsid w:val="00AE49E9"/>
    <w:pPr>
      <w:spacing w:before="240" w:after="0" w:line="259" w:lineRule="auto"/>
      <w:outlineLvl w:val="9"/>
    </w:pPr>
    <w:rPr>
      <w:kern w:val="0"/>
      <w:sz w:val="32"/>
      <w:szCs w:val="32"/>
      <w:lang w:eastAsia="es-CO"/>
      <w14:ligatures w14:val="none"/>
    </w:rPr>
  </w:style>
  <w:style w:type="paragraph" w:styleId="TDC1">
    <w:name w:val="toc 1"/>
    <w:basedOn w:val="Normal"/>
    <w:next w:val="Normal"/>
    <w:autoRedefine/>
    <w:uiPriority w:val="39"/>
    <w:unhideWhenUsed/>
    <w:rsid w:val="00AE49E9"/>
    <w:pPr>
      <w:spacing w:after="100"/>
    </w:pPr>
  </w:style>
  <w:style w:type="paragraph" w:styleId="TDC2">
    <w:name w:val="toc 2"/>
    <w:basedOn w:val="Normal"/>
    <w:next w:val="Normal"/>
    <w:autoRedefine/>
    <w:uiPriority w:val="39"/>
    <w:unhideWhenUsed/>
    <w:rsid w:val="00AE49E9"/>
    <w:pPr>
      <w:spacing w:after="100"/>
      <w:ind w:left="240"/>
    </w:pPr>
  </w:style>
  <w:style w:type="paragraph" w:styleId="Sinespaciado">
    <w:name w:val="No Spacing"/>
    <w:link w:val="SinespaciadoCar"/>
    <w:uiPriority w:val="1"/>
    <w:qFormat/>
    <w:rsid w:val="000B57FA"/>
    <w:pPr>
      <w:spacing w:after="0" w:line="240" w:lineRule="auto"/>
    </w:pPr>
    <w:rPr>
      <w:rFonts w:eastAsiaTheme="minorEastAsia"/>
      <w:kern w:val="0"/>
      <w:sz w:val="22"/>
      <w:szCs w:val="22"/>
      <w:lang w:val="es-CO" w:eastAsia="es-CO"/>
      <w14:ligatures w14:val="none"/>
    </w:rPr>
  </w:style>
  <w:style w:type="character" w:customStyle="1" w:styleId="SinespaciadoCar">
    <w:name w:val="Sin espaciado Car"/>
    <w:basedOn w:val="Fuentedeprrafopredeter"/>
    <w:link w:val="Sinespaciado"/>
    <w:uiPriority w:val="1"/>
    <w:rsid w:val="000B57FA"/>
    <w:rPr>
      <w:rFonts w:eastAsiaTheme="minorEastAsia"/>
      <w:kern w:val="0"/>
      <w:sz w:val="22"/>
      <w:szCs w:val="22"/>
      <w:lang w:val="es-CO" w:eastAsia="es-CO"/>
      <w14:ligatures w14:val="none"/>
    </w:rPr>
  </w:style>
  <w:style w:type="paragraph" w:styleId="TDC3">
    <w:name w:val="toc 3"/>
    <w:basedOn w:val="Normal"/>
    <w:next w:val="Normal"/>
    <w:autoRedefine/>
    <w:uiPriority w:val="39"/>
    <w:unhideWhenUsed/>
    <w:rsid w:val="00915E1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8001">
      <w:bodyDiv w:val="1"/>
      <w:marLeft w:val="0"/>
      <w:marRight w:val="0"/>
      <w:marTop w:val="0"/>
      <w:marBottom w:val="0"/>
      <w:divBdr>
        <w:top w:val="none" w:sz="0" w:space="0" w:color="auto"/>
        <w:left w:val="none" w:sz="0" w:space="0" w:color="auto"/>
        <w:bottom w:val="none" w:sz="0" w:space="0" w:color="auto"/>
        <w:right w:val="none" w:sz="0" w:space="0" w:color="auto"/>
      </w:divBdr>
    </w:div>
    <w:div w:id="9645100">
      <w:bodyDiv w:val="1"/>
      <w:marLeft w:val="0"/>
      <w:marRight w:val="0"/>
      <w:marTop w:val="0"/>
      <w:marBottom w:val="0"/>
      <w:divBdr>
        <w:top w:val="none" w:sz="0" w:space="0" w:color="auto"/>
        <w:left w:val="none" w:sz="0" w:space="0" w:color="auto"/>
        <w:bottom w:val="none" w:sz="0" w:space="0" w:color="auto"/>
        <w:right w:val="none" w:sz="0" w:space="0" w:color="auto"/>
      </w:divBdr>
    </w:div>
    <w:div w:id="54284312">
      <w:bodyDiv w:val="1"/>
      <w:marLeft w:val="0"/>
      <w:marRight w:val="0"/>
      <w:marTop w:val="0"/>
      <w:marBottom w:val="0"/>
      <w:divBdr>
        <w:top w:val="none" w:sz="0" w:space="0" w:color="auto"/>
        <w:left w:val="none" w:sz="0" w:space="0" w:color="auto"/>
        <w:bottom w:val="none" w:sz="0" w:space="0" w:color="auto"/>
        <w:right w:val="none" w:sz="0" w:space="0" w:color="auto"/>
      </w:divBdr>
    </w:div>
    <w:div w:id="186722910">
      <w:bodyDiv w:val="1"/>
      <w:marLeft w:val="0"/>
      <w:marRight w:val="0"/>
      <w:marTop w:val="0"/>
      <w:marBottom w:val="0"/>
      <w:divBdr>
        <w:top w:val="none" w:sz="0" w:space="0" w:color="auto"/>
        <w:left w:val="none" w:sz="0" w:space="0" w:color="auto"/>
        <w:bottom w:val="none" w:sz="0" w:space="0" w:color="auto"/>
        <w:right w:val="none" w:sz="0" w:space="0" w:color="auto"/>
      </w:divBdr>
    </w:div>
    <w:div w:id="217982226">
      <w:bodyDiv w:val="1"/>
      <w:marLeft w:val="0"/>
      <w:marRight w:val="0"/>
      <w:marTop w:val="0"/>
      <w:marBottom w:val="0"/>
      <w:divBdr>
        <w:top w:val="none" w:sz="0" w:space="0" w:color="auto"/>
        <w:left w:val="none" w:sz="0" w:space="0" w:color="auto"/>
        <w:bottom w:val="none" w:sz="0" w:space="0" w:color="auto"/>
        <w:right w:val="none" w:sz="0" w:space="0" w:color="auto"/>
      </w:divBdr>
    </w:div>
    <w:div w:id="294484302">
      <w:bodyDiv w:val="1"/>
      <w:marLeft w:val="0"/>
      <w:marRight w:val="0"/>
      <w:marTop w:val="0"/>
      <w:marBottom w:val="0"/>
      <w:divBdr>
        <w:top w:val="none" w:sz="0" w:space="0" w:color="auto"/>
        <w:left w:val="none" w:sz="0" w:space="0" w:color="auto"/>
        <w:bottom w:val="none" w:sz="0" w:space="0" w:color="auto"/>
        <w:right w:val="none" w:sz="0" w:space="0" w:color="auto"/>
      </w:divBdr>
    </w:div>
    <w:div w:id="304117621">
      <w:bodyDiv w:val="1"/>
      <w:marLeft w:val="0"/>
      <w:marRight w:val="0"/>
      <w:marTop w:val="0"/>
      <w:marBottom w:val="0"/>
      <w:divBdr>
        <w:top w:val="none" w:sz="0" w:space="0" w:color="auto"/>
        <w:left w:val="none" w:sz="0" w:space="0" w:color="auto"/>
        <w:bottom w:val="none" w:sz="0" w:space="0" w:color="auto"/>
        <w:right w:val="none" w:sz="0" w:space="0" w:color="auto"/>
      </w:divBdr>
    </w:div>
    <w:div w:id="426853401">
      <w:bodyDiv w:val="1"/>
      <w:marLeft w:val="0"/>
      <w:marRight w:val="0"/>
      <w:marTop w:val="0"/>
      <w:marBottom w:val="0"/>
      <w:divBdr>
        <w:top w:val="none" w:sz="0" w:space="0" w:color="auto"/>
        <w:left w:val="none" w:sz="0" w:space="0" w:color="auto"/>
        <w:bottom w:val="none" w:sz="0" w:space="0" w:color="auto"/>
        <w:right w:val="none" w:sz="0" w:space="0" w:color="auto"/>
      </w:divBdr>
    </w:div>
    <w:div w:id="483472125">
      <w:bodyDiv w:val="1"/>
      <w:marLeft w:val="0"/>
      <w:marRight w:val="0"/>
      <w:marTop w:val="0"/>
      <w:marBottom w:val="0"/>
      <w:divBdr>
        <w:top w:val="none" w:sz="0" w:space="0" w:color="auto"/>
        <w:left w:val="none" w:sz="0" w:space="0" w:color="auto"/>
        <w:bottom w:val="none" w:sz="0" w:space="0" w:color="auto"/>
        <w:right w:val="none" w:sz="0" w:space="0" w:color="auto"/>
      </w:divBdr>
    </w:div>
    <w:div w:id="507477424">
      <w:bodyDiv w:val="1"/>
      <w:marLeft w:val="0"/>
      <w:marRight w:val="0"/>
      <w:marTop w:val="0"/>
      <w:marBottom w:val="0"/>
      <w:divBdr>
        <w:top w:val="none" w:sz="0" w:space="0" w:color="auto"/>
        <w:left w:val="none" w:sz="0" w:space="0" w:color="auto"/>
        <w:bottom w:val="none" w:sz="0" w:space="0" w:color="auto"/>
        <w:right w:val="none" w:sz="0" w:space="0" w:color="auto"/>
      </w:divBdr>
    </w:div>
    <w:div w:id="535434174">
      <w:bodyDiv w:val="1"/>
      <w:marLeft w:val="0"/>
      <w:marRight w:val="0"/>
      <w:marTop w:val="0"/>
      <w:marBottom w:val="0"/>
      <w:divBdr>
        <w:top w:val="none" w:sz="0" w:space="0" w:color="auto"/>
        <w:left w:val="none" w:sz="0" w:space="0" w:color="auto"/>
        <w:bottom w:val="none" w:sz="0" w:space="0" w:color="auto"/>
        <w:right w:val="none" w:sz="0" w:space="0" w:color="auto"/>
      </w:divBdr>
    </w:div>
    <w:div w:id="574750781">
      <w:bodyDiv w:val="1"/>
      <w:marLeft w:val="0"/>
      <w:marRight w:val="0"/>
      <w:marTop w:val="0"/>
      <w:marBottom w:val="0"/>
      <w:divBdr>
        <w:top w:val="none" w:sz="0" w:space="0" w:color="auto"/>
        <w:left w:val="none" w:sz="0" w:space="0" w:color="auto"/>
        <w:bottom w:val="none" w:sz="0" w:space="0" w:color="auto"/>
        <w:right w:val="none" w:sz="0" w:space="0" w:color="auto"/>
      </w:divBdr>
    </w:div>
    <w:div w:id="580263493">
      <w:bodyDiv w:val="1"/>
      <w:marLeft w:val="0"/>
      <w:marRight w:val="0"/>
      <w:marTop w:val="0"/>
      <w:marBottom w:val="0"/>
      <w:divBdr>
        <w:top w:val="none" w:sz="0" w:space="0" w:color="auto"/>
        <w:left w:val="none" w:sz="0" w:space="0" w:color="auto"/>
        <w:bottom w:val="none" w:sz="0" w:space="0" w:color="auto"/>
        <w:right w:val="none" w:sz="0" w:space="0" w:color="auto"/>
      </w:divBdr>
    </w:div>
    <w:div w:id="648022002">
      <w:bodyDiv w:val="1"/>
      <w:marLeft w:val="0"/>
      <w:marRight w:val="0"/>
      <w:marTop w:val="0"/>
      <w:marBottom w:val="0"/>
      <w:divBdr>
        <w:top w:val="none" w:sz="0" w:space="0" w:color="auto"/>
        <w:left w:val="none" w:sz="0" w:space="0" w:color="auto"/>
        <w:bottom w:val="none" w:sz="0" w:space="0" w:color="auto"/>
        <w:right w:val="none" w:sz="0" w:space="0" w:color="auto"/>
      </w:divBdr>
    </w:div>
    <w:div w:id="698166512">
      <w:bodyDiv w:val="1"/>
      <w:marLeft w:val="0"/>
      <w:marRight w:val="0"/>
      <w:marTop w:val="0"/>
      <w:marBottom w:val="0"/>
      <w:divBdr>
        <w:top w:val="none" w:sz="0" w:space="0" w:color="auto"/>
        <w:left w:val="none" w:sz="0" w:space="0" w:color="auto"/>
        <w:bottom w:val="none" w:sz="0" w:space="0" w:color="auto"/>
        <w:right w:val="none" w:sz="0" w:space="0" w:color="auto"/>
      </w:divBdr>
    </w:div>
    <w:div w:id="802651774">
      <w:bodyDiv w:val="1"/>
      <w:marLeft w:val="0"/>
      <w:marRight w:val="0"/>
      <w:marTop w:val="0"/>
      <w:marBottom w:val="0"/>
      <w:divBdr>
        <w:top w:val="none" w:sz="0" w:space="0" w:color="auto"/>
        <w:left w:val="none" w:sz="0" w:space="0" w:color="auto"/>
        <w:bottom w:val="none" w:sz="0" w:space="0" w:color="auto"/>
        <w:right w:val="none" w:sz="0" w:space="0" w:color="auto"/>
      </w:divBdr>
    </w:div>
    <w:div w:id="828060575">
      <w:bodyDiv w:val="1"/>
      <w:marLeft w:val="0"/>
      <w:marRight w:val="0"/>
      <w:marTop w:val="0"/>
      <w:marBottom w:val="0"/>
      <w:divBdr>
        <w:top w:val="none" w:sz="0" w:space="0" w:color="auto"/>
        <w:left w:val="none" w:sz="0" w:space="0" w:color="auto"/>
        <w:bottom w:val="none" w:sz="0" w:space="0" w:color="auto"/>
        <w:right w:val="none" w:sz="0" w:space="0" w:color="auto"/>
      </w:divBdr>
    </w:div>
    <w:div w:id="863251017">
      <w:bodyDiv w:val="1"/>
      <w:marLeft w:val="0"/>
      <w:marRight w:val="0"/>
      <w:marTop w:val="0"/>
      <w:marBottom w:val="0"/>
      <w:divBdr>
        <w:top w:val="none" w:sz="0" w:space="0" w:color="auto"/>
        <w:left w:val="none" w:sz="0" w:space="0" w:color="auto"/>
        <w:bottom w:val="none" w:sz="0" w:space="0" w:color="auto"/>
        <w:right w:val="none" w:sz="0" w:space="0" w:color="auto"/>
      </w:divBdr>
    </w:div>
    <w:div w:id="1046174267">
      <w:bodyDiv w:val="1"/>
      <w:marLeft w:val="0"/>
      <w:marRight w:val="0"/>
      <w:marTop w:val="0"/>
      <w:marBottom w:val="0"/>
      <w:divBdr>
        <w:top w:val="none" w:sz="0" w:space="0" w:color="auto"/>
        <w:left w:val="none" w:sz="0" w:space="0" w:color="auto"/>
        <w:bottom w:val="none" w:sz="0" w:space="0" w:color="auto"/>
        <w:right w:val="none" w:sz="0" w:space="0" w:color="auto"/>
      </w:divBdr>
    </w:div>
    <w:div w:id="1063332988">
      <w:bodyDiv w:val="1"/>
      <w:marLeft w:val="0"/>
      <w:marRight w:val="0"/>
      <w:marTop w:val="0"/>
      <w:marBottom w:val="0"/>
      <w:divBdr>
        <w:top w:val="none" w:sz="0" w:space="0" w:color="auto"/>
        <w:left w:val="none" w:sz="0" w:space="0" w:color="auto"/>
        <w:bottom w:val="none" w:sz="0" w:space="0" w:color="auto"/>
        <w:right w:val="none" w:sz="0" w:space="0" w:color="auto"/>
      </w:divBdr>
    </w:div>
    <w:div w:id="1145244229">
      <w:bodyDiv w:val="1"/>
      <w:marLeft w:val="0"/>
      <w:marRight w:val="0"/>
      <w:marTop w:val="0"/>
      <w:marBottom w:val="0"/>
      <w:divBdr>
        <w:top w:val="none" w:sz="0" w:space="0" w:color="auto"/>
        <w:left w:val="none" w:sz="0" w:space="0" w:color="auto"/>
        <w:bottom w:val="none" w:sz="0" w:space="0" w:color="auto"/>
        <w:right w:val="none" w:sz="0" w:space="0" w:color="auto"/>
      </w:divBdr>
    </w:div>
    <w:div w:id="1276214666">
      <w:bodyDiv w:val="1"/>
      <w:marLeft w:val="0"/>
      <w:marRight w:val="0"/>
      <w:marTop w:val="0"/>
      <w:marBottom w:val="0"/>
      <w:divBdr>
        <w:top w:val="none" w:sz="0" w:space="0" w:color="auto"/>
        <w:left w:val="none" w:sz="0" w:space="0" w:color="auto"/>
        <w:bottom w:val="none" w:sz="0" w:space="0" w:color="auto"/>
        <w:right w:val="none" w:sz="0" w:space="0" w:color="auto"/>
      </w:divBdr>
    </w:div>
    <w:div w:id="1305037412">
      <w:bodyDiv w:val="1"/>
      <w:marLeft w:val="0"/>
      <w:marRight w:val="0"/>
      <w:marTop w:val="0"/>
      <w:marBottom w:val="0"/>
      <w:divBdr>
        <w:top w:val="none" w:sz="0" w:space="0" w:color="auto"/>
        <w:left w:val="none" w:sz="0" w:space="0" w:color="auto"/>
        <w:bottom w:val="none" w:sz="0" w:space="0" w:color="auto"/>
        <w:right w:val="none" w:sz="0" w:space="0" w:color="auto"/>
      </w:divBdr>
    </w:div>
    <w:div w:id="1461267488">
      <w:bodyDiv w:val="1"/>
      <w:marLeft w:val="0"/>
      <w:marRight w:val="0"/>
      <w:marTop w:val="0"/>
      <w:marBottom w:val="0"/>
      <w:divBdr>
        <w:top w:val="none" w:sz="0" w:space="0" w:color="auto"/>
        <w:left w:val="none" w:sz="0" w:space="0" w:color="auto"/>
        <w:bottom w:val="none" w:sz="0" w:space="0" w:color="auto"/>
        <w:right w:val="none" w:sz="0" w:space="0" w:color="auto"/>
      </w:divBdr>
    </w:div>
    <w:div w:id="1475365639">
      <w:bodyDiv w:val="1"/>
      <w:marLeft w:val="0"/>
      <w:marRight w:val="0"/>
      <w:marTop w:val="0"/>
      <w:marBottom w:val="0"/>
      <w:divBdr>
        <w:top w:val="none" w:sz="0" w:space="0" w:color="auto"/>
        <w:left w:val="none" w:sz="0" w:space="0" w:color="auto"/>
        <w:bottom w:val="none" w:sz="0" w:space="0" w:color="auto"/>
        <w:right w:val="none" w:sz="0" w:space="0" w:color="auto"/>
      </w:divBdr>
    </w:div>
    <w:div w:id="1520847874">
      <w:bodyDiv w:val="1"/>
      <w:marLeft w:val="0"/>
      <w:marRight w:val="0"/>
      <w:marTop w:val="0"/>
      <w:marBottom w:val="0"/>
      <w:divBdr>
        <w:top w:val="none" w:sz="0" w:space="0" w:color="auto"/>
        <w:left w:val="none" w:sz="0" w:space="0" w:color="auto"/>
        <w:bottom w:val="none" w:sz="0" w:space="0" w:color="auto"/>
        <w:right w:val="none" w:sz="0" w:space="0" w:color="auto"/>
      </w:divBdr>
    </w:div>
    <w:div w:id="1540388746">
      <w:bodyDiv w:val="1"/>
      <w:marLeft w:val="0"/>
      <w:marRight w:val="0"/>
      <w:marTop w:val="0"/>
      <w:marBottom w:val="0"/>
      <w:divBdr>
        <w:top w:val="none" w:sz="0" w:space="0" w:color="auto"/>
        <w:left w:val="none" w:sz="0" w:space="0" w:color="auto"/>
        <w:bottom w:val="none" w:sz="0" w:space="0" w:color="auto"/>
        <w:right w:val="none" w:sz="0" w:space="0" w:color="auto"/>
      </w:divBdr>
    </w:div>
    <w:div w:id="1569459524">
      <w:bodyDiv w:val="1"/>
      <w:marLeft w:val="0"/>
      <w:marRight w:val="0"/>
      <w:marTop w:val="0"/>
      <w:marBottom w:val="0"/>
      <w:divBdr>
        <w:top w:val="none" w:sz="0" w:space="0" w:color="auto"/>
        <w:left w:val="none" w:sz="0" w:space="0" w:color="auto"/>
        <w:bottom w:val="none" w:sz="0" w:space="0" w:color="auto"/>
        <w:right w:val="none" w:sz="0" w:space="0" w:color="auto"/>
      </w:divBdr>
    </w:div>
    <w:div w:id="1576471944">
      <w:bodyDiv w:val="1"/>
      <w:marLeft w:val="0"/>
      <w:marRight w:val="0"/>
      <w:marTop w:val="0"/>
      <w:marBottom w:val="0"/>
      <w:divBdr>
        <w:top w:val="none" w:sz="0" w:space="0" w:color="auto"/>
        <w:left w:val="none" w:sz="0" w:space="0" w:color="auto"/>
        <w:bottom w:val="none" w:sz="0" w:space="0" w:color="auto"/>
        <w:right w:val="none" w:sz="0" w:space="0" w:color="auto"/>
      </w:divBdr>
    </w:div>
    <w:div w:id="1584217924">
      <w:bodyDiv w:val="1"/>
      <w:marLeft w:val="0"/>
      <w:marRight w:val="0"/>
      <w:marTop w:val="0"/>
      <w:marBottom w:val="0"/>
      <w:divBdr>
        <w:top w:val="none" w:sz="0" w:space="0" w:color="auto"/>
        <w:left w:val="none" w:sz="0" w:space="0" w:color="auto"/>
        <w:bottom w:val="none" w:sz="0" w:space="0" w:color="auto"/>
        <w:right w:val="none" w:sz="0" w:space="0" w:color="auto"/>
      </w:divBdr>
    </w:div>
    <w:div w:id="1592078854">
      <w:bodyDiv w:val="1"/>
      <w:marLeft w:val="0"/>
      <w:marRight w:val="0"/>
      <w:marTop w:val="0"/>
      <w:marBottom w:val="0"/>
      <w:divBdr>
        <w:top w:val="none" w:sz="0" w:space="0" w:color="auto"/>
        <w:left w:val="none" w:sz="0" w:space="0" w:color="auto"/>
        <w:bottom w:val="none" w:sz="0" w:space="0" w:color="auto"/>
        <w:right w:val="none" w:sz="0" w:space="0" w:color="auto"/>
      </w:divBdr>
    </w:div>
    <w:div w:id="1624069455">
      <w:bodyDiv w:val="1"/>
      <w:marLeft w:val="0"/>
      <w:marRight w:val="0"/>
      <w:marTop w:val="0"/>
      <w:marBottom w:val="0"/>
      <w:divBdr>
        <w:top w:val="none" w:sz="0" w:space="0" w:color="auto"/>
        <w:left w:val="none" w:sz="0" w:space="0" w:color="auto"/>
        <w:bottom w:val="none" w:sz="0" w:space="0" w:color="auto"/>
        <w:right w:val="none" w:sz="0" w:space="0" w:color="auto"/>
      </w:divBdr>
    </w:div>
    <w:div w:id="1649246131">
      <w:bodyDiv w:val="1"/>
      <w:marLeft w:val="0"/>
      <w:marRight w:val="0"/>
      <w:marTop w:val="0"/>
      <w:marBottom w:val="0"/>
      <w:divBdr>
        <w:top w:val="none" w:sz="0" w:space="0" w:color="auto"/>
        <w:left w:val="none" w:sz="0" w:space="0" w:color="auto"/>
        <w:bottom w:val="none" w:sz="0" w:space="0" w:color="auto"/>
        <w:right w:val="none" w:sz="0" w:space="0" w:color="auto"/>
      </w:divBdr>
    </w:div>
    <w:div w:id="1752003075">
      <w:bodyDiv w:val="1"/>
      <w:marLeft w:val="0"/>
      <w:marRight w:val="0"/>
      <w:marTop w:val="0"/>
      <w:marBottom w:val="0"/>
      <w:divBdr>
        <w:top w:val="none" w:sz="0" w:space="0" w:color="auto"/>
        <w:left w:val="none" w:sz="0" w:space="0" w:color="auto"/>
        <w:bottom w:val="none" w:sz="0" w:space="0" w:color="auto"/>
        <w:right w:val="none" w:sz="0" w:space="0" w:color="auto"/>
      </w:divBdr>
      <w:divsChild>
        <w:div w:id="1043478609">
          <w:marLeft w:val="0"/>
          <w:marRight w:val="0"/>
          <w:marTop w:val="0"/>
          <w:marBottom w:val="0"/>
          <w:divBdr>
            <w:top w:val="none" w:sz="0" w:space="0" w:color="auto"/>
            <w:left w:val="none" w:sz="0" w:space="0" w:color="auto"/>
            <w:bottom w:val="none" w:sz="0" w:space="0" w:color="auto"/>
            <w:right w:val="none" w:sz="0" w:space="0" w:color="auto"/>
          </w:divBdr>
          <w:divsChild>
            <w:div w:id="538399735">
              <w:marLeft w:val="0"/>
              <w:marRight w:val="0"/>
              <w:marTop w:val="0"/>
              <w:marBottom w:val="0"/>
              <w:divBdr>
                <w:top w:val="none" w:sz="0" w:space="0" w:color="auto"/>
                <w:left w:val="none" w:sz="0" w:space="0" w:color="auto"/>
                <w:bottom w:val="none" w:sz="0" w:space="0" w:color="auto"/>
                <w:right w:val="none" w:sz="0" w:space="0" w:color="auto"/>
              </w:divBdr>
              <w:divsChild>
                <w:div w:id="484667861">
                  <w:marLeft w:val="0"/>
                  <w:marRight w:val="0"/>
                  <w:marTop w:val="0"/>
                  <w:marBottom w:val="0"/>
                  <w:divBdr>
                    <w:top w:val="none" w:sz="0" w:space="0" w:color="auto"/>
                    <w:left w:val="none" w:sz="0" w:space="0" w:color="auto"/>
                    <w:bottom w:val="none" w:sz="0" w:space="0" w:color="auto"/>
                    <w:right w:val="none" w:sz="0" w:space="0" w:color="auto"/>
                  </w:divBdr>
                  <w:divsChild>
                    <w:div w:id="37882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134864">
          <w:marLeft w:val="0"/>
          <w:marRight w:val="0"/>
          <w:marTop w:val="0"/>
          <w:marBottom w:val="0"/>
          <w:divBdr>
            <w:top w:val="none" w:sz="0" w:space="0" w:color="auto"/>
            <w:left w:val="none" w:sz="0" w:space="0" w:color="auto"/>
            <w:bottom w:val="none" w:sz="0" w:space="0" w:color="auto"/>
            <w:right w:val="none" w:sz="0" w:space="0" w:color="auto"/>
          </w:divBdr>
          <w:divsChild>
            <w:div w:id="1559634993">
              <w:marLeft w:val="0"/>
              <w:marRight w:val="0"/>
              <w:marTop w:val="0"/>
              <w:marBottom w:val="0"/>
              <w:divBdr>
                <w:top w:val="none" w:sz="0" w:space="0" w:color="auto"/>
                <w:left w:val="none" w:sz="0" w:space="0" w:color="auto"/>
                <w:bottom w:val="none" w:sz="0" w:space="0" w:color="auto"/>
                <w:right w:val="none" w:sz="0" w:space="0" w:color="auto"/>
              </w:divBdr>
              <w:divsChild>
                <w:div w:id="786435395">
                  <w:marLeft w:val="0"/>
                  <w:marRight w:val="0"/>
                  <w:marTop w:val="0"/>
                  <w:marBottom w:val="0"/>
                  <w:divBdr>
                    <w:top w:val="none" w:sz="0" w:space="0" w:color="auto"/>
                    <w:left w:val="none" w:sz="0" w:space="0" w:color="auto"/>
                    <w:bottom w:val="none" w:sz="0" w:space="0" w:color="auto"/>
                    <w:right w:val="none" w:sz="0" w:space="0" w:color="auto"/>
                  </w:divBdr>
                  <w:divsChild>
                    <w:div w:id="37154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810173">
      <w:bodyDiv w:val="1"/>
      <w:marLeft w:val="0"/>
      <w:marRight w:val="0"/>
      <w:marTop w:val="0"/>
      <w:marBottom w:val="0"/>
      <w:divBdr>
        <w:top w:val="none" w:sz="0" w:space="0" w:color="auto"/>
        <w:left w:val="none" w:sz="0" w:space="0" w:color="auto"/>
        <w:bottom w:val="none" w:sz="0" w:space="0" w:color="auto"/>
        <w:right w:val="none" w:sz="0" w:space="0" w:color="auto"/>
      </w:divBdr>
    </w:div>
    <w:div w:id="1827823674">
      <w:bodyDiv w:val="1"/>
      <w:marLeft w:val="0"/>
      <w:marRight w:val="0"/>
      <w:marTop w:val="0"/>
      <w:marBottom w:val="0"/>
      <w:divBdr>
        <w:top w:val="none" w:sz="0" w:space="0" w:color="auto"/>
        <w:left w:val="none" w:sz="0" w:space="0" w:color="auto"/>
        <w:bottom w:val="none" w:sz="0" w:space="0" w:color="auto"/>
        <w:right w:val="none" w:sz="0" w:space="0" w:color="auto"/>
      </w:divBdr>
    </w:div>
    <w:div w:id="1856456719">
      <w:bodyDiv w:val="1"/>
      <w:marLeft w:val="0"/>
      <w:marRight w:val="0"/>
      <w:marTop w:val="0"/>
      <w:marBottom w:val="0"/>
      <w:divBdr>
        <w:top w:val="none" w:sz="0" w:space="0" w:color="auto"/>
        <w:left w:val="none" w:sz="0" w:space="0" w:color="auto"/>
        <w:bottom w:val="none" w:sz="0" w:space="0" w:color="auto"/>
        <w:right w:val="none" w:sz="0" w:space="0" w:color="auto"/>
      </w:divBdr>
    </w:div>
    <w:div w:id="1901817687">
      <w:bodyDiv w:val="1"/>
      <w:marLeft w:val="0"/>
      <w:marRight w:val="0"/>
      <w:marTop w:val="0"/>
      <w:marBottom w:val="0"/>
      <w:divBdr>
        <w:top w:val="none" w:sz="0" w:space="0" w:color="auto"/>
        <w:left w:val="none" w:sz="0" w:space="0" w:color="auto"/>
        <w:bottom w:val="none" w:sz="0" w:space="0" w:color="auto"/>
        <w:right w:val="none" w:sz="0" w:space="0" w:color="auto"/>
      </w:divBdr>
    </w:div>
    <w:div w:id="1914270313">
      <w:bodyDiv w:val="1"/>
      <w:marLeft w:val="0"/>
      <w:marRight w:val="0"/>
      <w:marTop w:val="0"/>
      <w:marBottom w:val="0"/>
      <w:divBdr>
        <w:top w:val="none" w:sz="0" w:space="0" w:color="auto"/>
        <w:left w:val="none" w:sz="0" w:space="0" w:color="auto"/>
        <w:bottom w:val="none" w:sz="0" w:space="0" w:color="auto"/>
        <w:right w:val="none" w:sz="0" w:space="0" w:color="auto"/>
      </w:divBdr>
    </w:div>
    <w:div w:id="1961648379">
      <w:bodyDiv w:val="1"/>
      <w:marLeft w:val="0"/>
      <w:marRight w:val="0"/>
      <w:marTop w:val="0"/>
      <w:marBottom w:val="0"/>
      <w:divBdr>
        <w:top w:val="none" w:sz="0" w:space="0" w:color="auto"/>
        <w:left w:val="none" w:sz="0" w:space="0" w:color="auto"/>
        <w:bottom w:val="none" w:sz="0" w:space="0" w:color="auto"/>
        <w:right w:val="none" w:sz="0" w:space="0" w:color="auto"/>
      </w:divBdr>
    </w:div>
    <w:div w:id="1971863805">
      <w:bodyDiv w:val="1"/>
      <w:marLeft w:val="0"/>
      <w:marRight w:val="0"/>
      <w:marTop w:val="0"/>
      <w:marBottom w:val="0"/>
      <w:divBdr>
        <w:top w:val="none" w:sz="0" w:space="0" w:color="auto"/>
        <w:left w:val="none" w:sz="0" w:space="0" w:color="auto"/>
        <w:bottom w:val="none" w:sz="0" w:space="0" w:color="auto"/>
        <w:right w:val="none" w:sz="0" w:space="0" w:color="auto"/>
      </w:divBdr>
    </w:div>
    <w:div w:id="2020765332">
      <w:bodyDiv w:val="1"/>
      <w:marLeft w:val="0"/>
      <w:marRight w:val="0"/>
      <w:marTop w:val="0"/>
      <w:marBottom w:val="0"/>
      <w:divBdr>
        <w:top w:val="none" w:sz="0" w:space="0" w:color="auto"/>
        <w:left w:val="none" w:sz="0" w:space="0" w:color="auto"/>
        <w:bottom w:val="none" w:sz="0" w:space="0" w:color="auto"/>
        <w:right w:val="none" w:sz="0" w:space="0" w:color="auto"/>
      </w:divBdr>
    </w:div>
    <w:div w:id="2054235310">
      <w:bodyDiv w:val="1"/>
      <w:marLeft w:val="0"/>
      <w:marRight w:val="0"/>
      <w:marTop w:val="0"/>
      <w:marBottom w:val="0"/>
      <w:divBdr>
        <w:top w:val="none" w:sz="0" w:space="0" w:color="auto"/>
        <w:left w:val="none" w:sz="0" w:space="0" w:color="auto"/>
        <w:bottom w:val="none" w:sz="0" w:space="0" w:color="auto"/>
        <w:right w:val="none" w:sz="0" w:space="0" w:color="auto"/>
      </w:divBdr>
    </w:div>
    <w:div w:id="2089111934">
      <w:bodyDiv w:val="1"/>
      <w:marLeft w:val="0"/>
      <w:marRight w:val="0"/>
      <w:marTop w:val="0"/>
      <w:marBottom w:val="0"/>
      <w:divBdr>
        <w:top w:val="none" w:sz="0" w:space="0" w:color="auto"/>
        <w:left w:val="none" w:sz="0" w:space="0" w:color="auto"/>
        <w:bottom w:val="none" w:sz="0" w:space="0" w:color="auto"/>
        <w:right w:val="none" w:sz="0" w:space="0" w:color="auto"/>
      </w:divBdr>
      <w:divsChild>
        <w:div w:id="166798978">
          <w:marLeft w:val="0"/>
          <w:marRight w:val="0"/>
          <w:marTop w:val="0"/>
          <w:marBottom w:val="0"/>
          <w:divBdr>
            <w:top w:val="none" w:sz="0" w:space="0" w:color="auto"/>
            <w:left w:val="none" w:sz="0" w:space="0" w:color="auto"/>
            <w:bottom w:val="none" w:sz="0" w:space="0" w:color="auto"/>
            <w:right w:val="none" w:sz="0" w:space="0" w:color="auto"/>
          </w:divBdr>
          <w:divsChild>
            <w:div w:id="248122265">
              <w:marLeft w:val="0"/>
              <w:marRight w:val="0"/>
              <w:marTop w:val="0"/>
              <w:marBottom w:val="0"/>
              <w:divBdr>
                <w:top w:val="none" w:sz="0" w:space="0" w:color="auto"/>
                <w:left w:val="none" w:sz="0" w:space="0" w:color="auto"/>
                <w:bottom w:val="none" w:sz="0" w:space="0" w:color="auto"/>
                <w:right w:val="none" w:sz="0" w:space="0" w:color="auto"/>
              </w:divBdr>
              <w:divsChild>
                <w:div w:id="1329165080">
                  <w:marLeft w:val="0"/>
                  <w:marRight w:val="0"/>
                  <w:marTop w:val="0"/>
                  <w:marBottom w:val="0"/>
                  <w:divBdr>
                    <w:top w:val="none" w:sz="0" w:space="0" w:color="auto"/>
                    <w:left w:val="none" w:sz="0" w:space="0" w:color="auto"/>
                    <w:bottom w:val="none" w:sz="0" w:space="0" w:color="auto"/>
                    <w:right w:val="none" w:sz="0" w:space="0" w:color="auto"/>
                  </w:divBdr>
                  <w:divsChild>
                    <w:div w:id="4505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12764">
          <w:marLeft w:val="0"/>
          <w:marRight w:val="0"/>
          <w:marTop w:val="0"/>
          <w:marBottom w:val="0"/>
          <w:divBdr>
            <w:top w:val="none" w:sz="0" w:space="0" w:color="auto"/>
            <w:left w:val="none" w:sz="0" w:space="0" w:color="auto"/>
            <w:bottom w:val="none" w:sz="0" w:space="0" w:color="auto"/>
            <w:right w:val="none" w:sz="0" w:space="0" w:color="auto"/>
          </w:divBdr>
          <w:divsChild>
            <w:div w:id="1160461249">
              <w:marLeft w:val="0"/>
              <w:marRight w:val="0"/>
              <w:marTop w:val="0"/>
              <w:marBottom w:val="0"/>
              <w:divBdr>
                <w:top w:val="none" w:sz="0" w:space="0" w:color="auto"/>
                <w:left w:val="none" w:sz="0" w:space="0" w:color="auto"/>
                <w:bottom w:val="none" w:sz="0" w:space="0" w:color="auto"/>
                <w:right w:val="none" w:sz="0" w:space="0" w:color="auto"/>
              </w:divBdr>
              <w:divsChild>
                <w:div w:id="766313134">
                  <w:marLeft w:val="0"/>
                  <w:marRight w:val="0"/>
                  <w:marTop w:val="0"/>
                  <w:marBottom w:val="0"/>
                  <w:divBdr>
                    <w:top w:val="none" w:sz="0" w:space="0" w:color="auto"/>
                    <w:left w:val="none" w:sz="0" w:space="0" w:color="auto"/>
                    <w:bottom w:val="none" w:sz="0" w:space="0" w:color="auto"/>
                    <w:right w:val="none" w:sz="0" w:space="0" w:color="auto"/>
                  </w:divBdr>
                  <w:divsChild>
                    <w:div w:id="125392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16f931ab92a3fca4/Escritorio/ANALISIS%20DE%20LOS%20RUBROS%20IV%20%20TRIMESTRE%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400" b="1" i="0" u="none" strike="noStrike" kern="1200" spc="0" baseline="0">
                <a:solidFill>
                  <a:sysClr val="windowText" lastClr="000000">
                    <a:lumMod val="65000"/>
                    <a:lumOff val="35000"/>
                  </a:sysClr>
                </a:solidFill>
              </a:rPr>
              <a:t>Obligaciones Factores Salariales Comunes 2024 - 2023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1"/>
            </a:solidFill>
            <a:ln>
              <a:noFill/>
            </a:ln>
            <a:effectLst/>
          </c:spPr>
          <c:invertIfNegative val="0"/>
          <c:cat>
            <c:strRef>
              <c:f>'[ANALISIS DE LOS RUBROS IV  TRIMESTRE 2024.xlsx]RUBROS DESGLOSADOS'!$D$10,'[ANALISIS DE LOS RUBROS IV  TRIMESTRE 2024.xlsx]RUBROS DESGLOSADOS'!$G$10</c:f>
              <c:strCache>
                <c:ptCount val="2"/>
                <c:pt idx="0">
                  <c:v>Total Ejecución (Obligaciones) a 31 de Dic. de 2024</c:v>
                </c:pt>
                <c:pt idx="1">
                  <c:v>Ejecución (Obligaciones) a 31 de Dic. de 2023</c:v>
                </c:pt>
              </c:strCache>
            </c:strRef>
          </c:cat>
          <c:val>
            <c:numRef>
              <c:f>'[ANALISIS DE LOS RUBROS IV  TRIMESTRE 2024.xlsx]RUBROS DESGLOSADOS'!$D$11,'[ANALISIS DE LOS RUBROS IV  TRIMESTRE 2024.xlsx]RUBROS DESGLOSADOS'!$G$11</c:f>
              <c:numCache>
                <c:formatCode>General</c:formatCode>
                <c:ptCount val="2"/>
              </c:numCache>
            </c:numRef>
          </c:val>
          <c:extLst>
            <c:ext xmlns:c16="http://schemas.microsoft.com/office/drawing/2014/chart" uri="{C3380CC4-5D6E-409C-BE32-E72D297353CC}">
              <c16:uniqueId val="{00000000-0335-41F9-8464-AFF2E7871F12}"/>
            </c:ext>
          </c:extLst>
        </c:ser>
        <c:ser>
          <c:idx val="1"/>
          <c:order val="1"/>
          <c:spPr>
            <a:solidFill>
              <a:schemeClr val="accent2"/>
            </a:solidFill>
            <a:ln>
              <a:noFill/>
            </a:ln>
            <a:effectLst/>
          </c:spPr>
          <c:invertIfNegative val="0"/>
          <c:dPt>
            <c:idx val="1"/>
            <c:invertIfNegative val="0"/>
            <c:bubble3D val="0"/>
            <c:spPr>
              <a:solidFill>
                <a:srgbClr val="002060"/>
              </a:solidFill>
              <a:ln>
                <a:noFill/>
              </a:ln>
              <a:effectLst/>
            </c:spPr>
            <c:extLst>
              <c:ext xmlns:c16="http://schemas.microsoft.com/office/drawing/2014/chart" uri="{C3380CC4-5D6E-409C-BE32-E72D297353CC}">
                <c16:uniqueId val="{00000002-0335-41F9-8464-AFF2E7871F1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'[ANALISIS DE LOS RUBROS IV  TRIMESTRE 2024.xlsx]RUBROS DESGLOSADOS'!$D$10,'[ANALISIS DE LOS RUBROS IV  TRIMESTRE 2024.xlsx]RUBROS DESGLOSADOS'!$G$10</c:f>
              <c:strCache>
                <c:ptCount val="2"/>
                <c:pt idx="0">
                  <c:v>Total Ejecución (Obligaciones) a 31 de Dic. de 2024</c:v>
                </c:pt>
                <c:pt idx="1">
                  <c:v>Ejecución (Obligaciones) a 31 de Dic. de 2023</c:v>
                </c:pt>
              </c:strCache>
            </c:strRef>
          </c:cat>
          <c:val>
            <c:numRef>
              <c:f>'[ANALISIS DE LOS RUBROS IV  TRIMESTRE 2024.xlsx]RUBROS DESGLOSADOS'!$D$18,'[ANALISIS DE LOS RUBROS IV  TRIMESTRE 2024.xlsx]RUBROS DESGLOSADOS'!$G$18</c:f>
              <c:numCache>
                <c:formatCode>#,##0</c:formatCode>
                <c:ptCount val="2"/>
                <c:pt idx="0">
                  <c:v>1311444657</c:v>
                </c:pt>
                <c:pt idx="1">
                  <c:v>1195835708</c:v>
                </c:pt>
              </c:numCache>
            </c:numRef>
          </c:val>
          <c:extLst>
            <c:ext xmlns:c16="http://schemas.microsoft.com/office/drawing/2014/chart" uri="{C3380CC4-5D6E-409C-BE32-E72D297353CC}">
              <c16:uniqueId val="{00000003-0335-41F9-8464-AFF2E7871F12}"/>
            </c:ext>
          </c:extLst>
        </c:ser>
        <c:dLbls>
          <c:showLegendKey val="0"/>
          <c:showVal val="0"/>
          <c:showCatName val="0"/>
          <c:showSerName val="0"/>
          <c:showPercent val="0"/>
          <c:showBubbleSize val="0"/>
        </c:dLbls>
        <c:gapWidth val="219"/>
        <c:overlap val="-27"/>
        <c:axId val="1235255215"/>
        <c:axId val="1235256655"/>
      </c:barChart>
      <c:catAx>
        <c:axId val="12352552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235256655"/>
        <c:crosses val="autoZero"/>
        <c:auto val="1"/>
        <c:lblAlgn val="ctr"/>
        <c:lblOffset val="100"/>
        <c:noMultiLvlLbl val="0"/>
      </c:catAx>
      <c:valAx>
        <c:axId val="123525665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23525521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85000"/>
          <a:lumOff val="1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730613B8AF84EB39F5DD23456DD609D"/>
        <w:category>
          <w:name w:val="General"/>
          <w:gallery w:val="placeholder"/>
        </w:category>
        <w:types>
          <w:type w:val="bbPlcHdr"/>
        </w:types>
        <w:behaviors>
          <w:behavior w:val="content"/>
        </w:behaviors>
        <w:guid w:val="{417B17F4-B608-4F3C-B1BB-27B4E6964A90}"/>
      </w:docPartPr>
      <w:docPartBody>
        <w:p w:rsidR="00AD0445" w:rsidRDefault="00AA405C" w:rsidP="00AA405C">
          <w:pPr>
            <w:pStyle w:val="C730613B8AF84EB39F5DD23456DD609D"/>
          </w:pPr>
          <w:r>
            <w:rPr>
              <w:rFonts w:asciiTheme="majorHAnsi" w:eastAsiaTheme="majorEastAsia" w:hAnsiTheme="majorHAnsi" w:cstheme="majorBidi"/>
              <w:caps/>
              <w:color w:val="156082" w:themeColor="accent1"/>
              <w:sz w:val="80"/>
              <w:szCs w:val="80"/>
              <w:lang w:val="es-ES"/>
            </w:rPr>
            <w:t>[Título del documento]</w:t>
          </w:r>
        </w:p>
      </w:docPartBody>
    </w:docPart>
    <w:docPart>
      <w:docPartPr>
        <w:name w:val="308DA9D6815443758ADA936760174CD0"/>
        <w:category>
          <w:name w:val="General"/>
          <w:gallery w:val="placeholder"/>
        </w:category>
        <w:types>
          <w:type w:val="bbPlcHdr"/>
        </w:types>
        <w:behaviors>
          <w:behavior w:val="content"/>
        </w:behaviors>
        <w:guid w:val="{5E4DD986-7865-4103-8194-7DC8E3068D26}"/>
      </w:docPartPr>
      <w:docPartBody>
        <w:p w:rsidR="00AD0445" w:rsidRDefault="00AA405C" w:rsidP="00AA405C">
          <w:pPr>
            <w:pStyle w:val="308DA9D6815443758ADA936760174CD0"/>
          </w:pPr>
          <w:r>
            <w:rPr>
              <w:color w:val="156082" w:themeColor="accent1"/>
              <w:sz w:val="28"/>
              <w:szCs w:val="28"/>
              <w:lang w:val="es-ES"/>
            </w:rPr>
            <w:t>[Subtítulo del documento]</w:t>
          </w:r>
        </w:p>
      </w:docPartBody>
    </w:docPart>
    <w:docPart>
      <w:docPartPr>
        <w:name w:val="3B60A2CC4177408D98306281B2E56641"/>
        <w:category>
          <w:name w:val="General"/>
          <w:gallery w:val="placeholder"/>
        </w:category>
        <w:types>
          <w:type w:val="bbPlcHdr"/>
        </w:types>
        <w:behaviors>
          <w:behavior w:val="content"/>
        </w:behaviors>
        <w:guid w:val="{A3A19CB6-4EDF-4FF8-8839-E56976A4F774}"/>
      </w:docPartPr>
      <w:docPartBody>
        <w:p w:rsidR="00A61B95" w:rsidRDefault="008321F9" w:rsidP="008321F9">
          <w:pPr>
            <w:pStyle w:val="3B60A2CC4177408D98306281B2E56641"/>
          </w:pPr>
          <w:r>
            <w:rPr>
              <w:rFonts w:asciiTheme="majorHAnsi" w:eastAsiaTheme="majorEastAsia" w:hAnsiTheme="majorHAnsi" w:cstheme="majorBidi"/>
              <w:caps/>
              <w:color w:val="156082" w:themeColor="accent1"/>
              <w:sz w:val="80"/>
              <w:szCs w:val="80"/>
              <w:lang w:val="es-ES"/>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05C"/>
    <w:rsid w:val="0012766B"/>
    <w:rsid w:val="00205D18"/>
    <w:rsid w:val="004D6C27"/>
    <w:rsid w:val="006208B1"/>
    <w:rsid w:val="006A7BA3"/>
    <w:rsid w:val="006F5595"/>
    <w:rsid w:val="008321F9"/>
    <w:rsid w:val="00833A67"/>
    <w:rsid w:val="00906795"/>
    <w:rsid w:val="00A61B95"/>
    <w:rsid w:val="00A801BF"/>
    <w:rsid w:val="00AA405C"/>
    <w:rsid w:val="00AD0445"/>
    <w:rsid w:val="00C833ED"/>
    <w:rsid w:val="00E649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730613B8AF84EB39F5DD23456DD609D">
    <w:name w:val="C730613B8AF84EB39F5DD23456DD609D"/>
    <w:rsid w:val="00AA405C"/>
  </w:style>
  <w:style w:type="paragraph" w:customStyle="1" w:styleId="308DA9D6815443758ADA936760174CD0">
    <w:name w:val="308DA9D6815443758ADA936760174CD0"/>
    <w:rsid w:val="00AA405C"/>
  </w:style>
  <w:style w:type="paragraph" w:customStyle="1" w:styleId="3B60A2CC4177408D98306281B2E56641">
    <w:name w:val="3B60A2CC4177408D98306281B2E56641"/>
    <w:rsid w:val="008321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3BB42B-F7DD-4FA0-823C-C8D7435E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3852</Words>
  <Characters>21186</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INFORME TRIMESTRAL DE AUSTERIDAD DEL GASTO PRIMER TIRMESTE DE 2025</vt:lpstr>
    </vt:vector>
  </TitlesOfParts>
  <Company/>
  <LinksUpToDate>false</LinksUpToDate>
  <CharactersWithSpaces>24989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TRIMESTRAL DE AUSTERIDAD DEL GASTO CUARTO TIRMESTE DE 2024</dc:title>
  <dc:subject>INFORME EJECUTIVO</dc:subject>
  <dc:creator>Gestión de Sistemas y Tecnologías de la Información</dc:creator>
  <cp:keywords/>
  <dc:description/>
  <cp:lastModifiedBy>yor david fonseca estrada</cp:lastModifiedBy>
  <cp:revision>5</cp:revision>
  <cp:lastPrinted>2025-08-31T19:47:00Z</cp:lastPrinted>
  <dcterms:created xsi:type="dcterms:W3CDTF">2025-08-31T18:33:00Z</dcterms:created>
  <dcterms:modified xsi:type="dcterms:W3CDTF">2025-08-31T19:47:00Z</dcterms:modified>
</cp:coreProperties>
</file>